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spacing w:after="120" w:line="360" w:lineRule="auto"/>
        <w:jc w:val="center"/>
        <w:rPr>
          <w:rFonts w:ascii="Arial" w:hAnsi="Arial" w:cs="Arial"/>
          <w:b/>
          <w:bCs/>
        </w:rPr>
      </w:pPr>
      <w:r>
        <w:rPr>
          <w:rFonts w:ascii="Arial" w:hAnsi="Arial" w:cs="Arial"/>
          <w:b/>
          <w:bCs/>
        </w:rPr>
        <w:t>ANEXO VI</w:t>
      </w:r>
    </w:p>
    <w:p>
      <w:pPr>
        <w:pStyle w:val="9"/>
        <w:spacing w:after="120" w:line="360" w:lineRule="auto"/>
        <w:jc w:val="center"/>
        <w:rPr>
          <w:rFonts w:ascii="Arial" w:hAnsi="Arial" w:cs="Arial"/>
          <w:b/>
          <w:bCs/>
        </w:rPr>
      </w:pPr>
      <w:r>
        <w:rPr>
          <w:rFonts w:ascii="Arial" w:hAnsi="Arial" w:cs="Arial"/>
          <w:b/>
          <w:bCs/>
        </w:rPr>
        <w:t xml:space="preserve">PREGÃO ELETRÔNICO </w:t>
      </w:r>
      <w:r>
        <w:rPr>
          <w:rFonts w:ascii="Arial" w:hAnsi="Arial" w:cs="Arial"/>
          <w:b/>
          <w:bCs/>
          <w:highlight w:val="none"/>
        </w:rPr>
        <w:t xml:space="preserve">Nº </w:t>
      </w:r>
      <w:r>
        <w:rPr>
          <w:rFonts w:hint="default" w:ascii="Arial" w:hAnsi="Arial" w:cs="Arial"/>
          <w:b/>
          <w:bCs/>
          <w:highlight w:val="none"/>
          <w:lang w:val="pt-BR"/>
        </w:rPr>
        <w:t>90.048/2026</w:t>
      </w:r>
    </w:p>
    <w:p>
      <w:pPr>
        <w:pStyle w:val="9"/>
        <w:spacing w:after="120" w:line="360" w:lineRule="auto"/>
        <w:jc w:val="center"/>
        <w:rPr>
          <w:rFonts w:ascii="Arial" w:hAnsi="Arial" w:cs="Arial"/>
          <w:b/>
          <w:bCs/>
        </w:rPr>
      </w:pPr>
      <w:r>
        <w:rPr>
          <w:rFonts w:ascii="Arial" w:hAnsi="Arial" w:cs="Arial"/>
          <w:b/>
          <w:bCs/>
        </w:rPr>
        <w:t xml:space="preserve">MINUTA DE ATA DE REGISTRO DE PREÇOS </w:t>
      </w:r>
    </w:p>
    <w:p>
      <w:pPr>
        <w:tabs>
          <w:tab w:val="left" w:pos="709"/>
          <w:tab w:val="left" w:pos="4913"/>
          <w:tab w:val="left" w:pos="7050"/>
          <w:tab w:val="left" w:pos="9691"/>
        </w:tabs>
        <w:spacing w:before="113" w:after="120" w:line="360" w:lineRule="auto"/>
        <w:ind w:right="119"/>
        <w:jc w:val="both"/>
        <w:rPr>
          <w:rFonts w:ascii="Arial" w:hAnsi="Arial" w:cs="Arial"/>
          <w:w w:val="115"/>
          <w:lang w:val="pt-BR"/>
        </w:rPr>
      </w:pPr>
    </w:p>
    <w:p>
      <w:pPr>
        <w:tabs>
          <w:tab w:val="left" w:pos="709"/>
          <w:tab w:val="left" w:pos="4913"/>
          <w:tab w:val="left" w:pos="7050"/>
          <w:tab w:val="left" w:pos="9691"/>
        </w:tabs>
        <w:spacing w:before="113" w:after="120" w:line="360" w:lineRule="auto"/>
        <w:ind w:right="119"/>
        <w:jc w:val="both"/>
        <w:rPr>
          <w:rFonts w:ascii="Arial" w:hAnsi="Arial" w:cs="Arial"/>
          <w:w w:val="115"/>
          <w:lang w:val="pt-BR"/>
        </w:rPr>
      </w:pPr>
      <w:r>
        <w:rPr>
          <w:rFonts w:ascii="Arial" w:hAnsi="Arial" w:cs="Arial"/>
          <w:w w:val="115"/>
          <w:lang w:val="pt-BR"/>
        </w:rPr>
        <w:t xml:space="preserve">O </w:t>
      </w:r>
      <w:r>
        <w:rPr>
          <w:rFonts w:ascii="Arial" w:hAnsi="Arial" w:cs="Arial"/>
          <w:b/>
          <w:bCs/>
          <w:w w:val="115"/>
        </w:rPr>
        <w:t xml:space="preserve">MUNICÍPIO DE NOVA FRIBURGO </w:t>
      </w:r>
      <w:r>
        <w:rPr>
          <w:rFonts w:ascii="Arial" w:hAnsi="Arial" w:cs="Arial"/>
          <w:w w:val="115"/>
          <w:lang w:val="pt-BR"/>
        </w:rPr>
        <w:t xml:space="preserve">com sede na Avenida Alberto Braune, 225 - Centro, na cidade de Nova Friburgo - RJ, inscrito(a) no CNPJ/MF sob o nº </w:t>
      </w:r>
      <w:r>
        <w:rPr>
          <w:rFonts w:ascii="Arial" w:hAnsi="Arial" w:cs="Arial"/>
          <w:w w:val="115"/>
        </w:rPr>
        <w:t>28.606.630/0001-23</w:t>
      </w:r>
      <w:r>
        <w:rPr>
          <w:rFonts w:ascii="Arial" w:hAnsi="Arial" w:cs="Arial"/>
          <w:w w:val="115"/>
          <w:lang w:val="pt-BR"/>
        </w:rPr>
        <w:t xml:space="preserve">, considerando o julgamento da licitação na modalidade de pregão, na forma eletrônica, para REGISTRO DE PREÇOS nº </w:t>
      </w:r>
      <w:r>
        <w:rPr>
          <w:rFonts w:hint="default" w:ascii="Arial" w:hAnsi="Arial" w:cs="Arial"/>
          <w:w w:val="115"/>
          <w:lang w:val="pt-BR"/>
        </w:rPr>
        <w:t>90.048/2026</w:t>
      </w:r>
      <w:r>
        <w:rPr>
          <w:rFonts w:ascii="Arial" w:hAnsi="Arial" w:cs="Arial"/>
          <w:w w:val="115"/>
          <w:lang w:val="pt-BR"/>
        </w:rPr>
        <w:t xml:space="preserve">, processo administrativo n.º </w:t>
      </w:r>
      <w:r>
        <w:rPr>
          <w:rFonts w:hint="default" w:ascii="Arial" w:hAnsi="Arial" w:cs="Arial"/>
          <w:w w:val="115"/>
          <w:lang w:val="pt-BR"/>
        </w:rPr>
        <w:t>5.976/2026</w:t>
      </w:r>
      <w:r>
        <w:rPr>
          <w:rFonts w:ascii="Arial" w:hAnsi="Arial" w:cs="Arial"/>
          <w:w w:val="115"/>
          <w:lang w:val="pt-BR"/>
        </w:rPr>
        <w:t>, RESOLVE registrar os preços da(s)  empresa(s) indicada(s) e qualificada(s) nesta ATA, de acordo com a classificação por ela(s) alcançada(s), atendendo as condições previstas no edital, sujeitando-se as partes às normas constantes na Lei nº 14.133, de 01 de abril de 2021 e suas alterações, no Decreto Federal nº 11.462, de 31 de março de 2023, e em conformidade com as disposições a seguir:</w:t>
      </w:r>
    </w:p>
    <w:p>
      <w:pPr>
        <w:tabs>
          <w:tab w:val="left" w:pos="709"/>
          <w:tab w:val="left" w:pos="4913"/>
          <w:tab w:val="left" w:pos="7050"/>
          <w:tab w:val="left" w:pos="9691"/>
        </w:tabs>
        <w:spacing w:before="113" w:after="120" w:line="360" w:lineRule="auto"/>
        <w:ind w:left="261" w:right="119"/>
        <w:jc w:val="both"/>
        <w:rPr>
          <w:rFonts w:ascii="Arial" w:hAnsi="Arial" w:cs="Arial"/>
          <w:w w:val="115"/>
        </w:rPr>
      </w:pPr>
    </w:p>
    <w:p>
      <w:pPr>
        <w:numPr>
          <w:ilvl w:val="0"/>
          <w:numId w:val="2"/>
        </w:numPr>
        <w:tabs>
          <w:tab w:val="left" w:pos="709"/>
          <w:tab w:val="left" w:pos="4913"/>
          <w:tab w:val="left" w:pos="7050"/>
          <w:tab w:val="left" w:pos="9691"/>
        </w:tabs>
        <w:spacing w:before="113" w:after="120" w:line="360" w:lineRule="auto"/>
        <w:ind w:right="119"/>
        <w:jc w:val="both"/>
        <w:rPr>
          <w:rFonts w:ascii="Arial" w:hAnsi="Arial" w:eastAsia="Azo Sans Lt" w:cs="Arial"/>
          <w:b/>
          <w:bCs/>
          <w:lang w:val="pt-BR"/>
        </w:rPr>
      </w:pPr>
      <w:r>
        <w:rPr>
          <w:rFonts w:ascii="Arial" w:hAnsi="Arial" w:eastAsia="Azo Sans Lt" w:cs="Arial"/>
          <w:b/>
          <w:bCs/>
          <w:lang w:val="pt-BR"/>
        </w:rPr>
        <w:t>DO OBJETO</w:t>
      </w:r>
    </w:p>
    <w:p>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lang w:val="pt-BR"/>
        </w:rPr>
      </w:pPr>
      <w:r>
        <w:rPr>
          <w:rFonts w:ascii="Arial" w:hAnsi="Arial" w:eastAsia="Azo Sans Lt" w:cs="Arial"/>
          <w:lang w:val="pt-BR"/>
        </w:rPr>
        <w:t xml:space="preserve">A presente Ata tem por objeto o </w:t>
      </w:r>
      <w:r>
        <w:rPr>
          <w:rFonts w:ascii="Arial" w:hAnsi="Arial" w:eastAsia="Azo Sans Lt" w:cs="Arial"/>
          <w:b/>
          <w:bCs/>
          <w:lang w:val="pt-BR"/>
        </w:rPr>
        <w:t>REGISTRO DE PREÇOS para futura e eventual</w:t>
      </w:r>
      <w:r>
        <w:rPr>
          <w:rFonts w:hint="default" w:ascii="Arial" w:hAnsi="Arial" w:eastAsia="Azo Sans Lt" w:cs="Arial"/>
          <w:b/>
          <w:bCs/>
          <w:lang w:val="pt-BR"/>
        </w:rPr>
        <w:t xml:space="preserve"> CONTRATAÇÃO DE  EMPRESA ESPECIALIZADA PARA O FORNECIMENTO DE CIMENTO ASFÁLTICO DE PETRÓLEO (CAP 50/70), PARA ATENDER AS NECESSIDADES DA SECRETARIA DE INFRAESTRUTURA E OBRAS, pelo período de 1 (um) ano</w:t>
      </w:r>
      <w:r>
        <w:rPr>
          <w:rFonts w:ascii="Arial" w:hAnsi="Arial" w:eastAsia="Azo Sans Lt" w:cs="Arial"/>
          <w:lang w:val="pt-BR"/>
        </w:rPr>
        <w:t xml:space="preserve">, conforme especificado no Termo de Referência, Anexo I do edital de Pregão nº </w:t>
      </w:r>
      <w:r>
        <w:rPr>
          <w:rFonts w:hint="default" w:ascii="Arial" w:hAnsi="Arial" w:eastAsia="Azo Sans Lt" w:cs="Arial"/>
          <w:lang w:val="pt-BR"/>
        </w:rPr>
        <w:t>90.048/2026</w:t>
      </w:r>
      <w:r>
        <w:rPr>
          <w:rFonts w:ascii="Arial" w:hAnsi="Arial" w:eastAsia="Azo Sans Lt" w:cs="Arial"/>
          <w:lang w:val="pt-BR"/>
        </w:rPr>
        <w:t>, que é parte integrante desta Ata, assim como a proposta vencedora, independentemente de transcrição.</w:t>
      </w:r>
    </w:p>
    <w:p>
      <w:pPr>
        <w:tabs>
          <w:tab w:val="left" w:pos="709"/>
          <w:tab w:val="left" w:pos="4913"/>
          <w:tab w:val="left" w:pos="7050"/>
          <w:tab w:val="left" w:pos="9691"/>
        </w:tabs>
        <w:spacing w:before="113" w:after="120" w:line="360" w:lineRule="auto"/>
        <w:ind w:left="261" w:right="119"/>
        <w:jc w:val="both"/>
        <w:rPr>
          <w:rFonts w:ascii="Arial" w:hAnsi="Arial" w:eastAsia="Azo Sans Lt" w:cs="Arial"/>
        </w:rPr>
      </w:pPr>
    </w:p>
    <w:p>
      <w:pPr>
        <w:numPr>
          <w:ilvl w:val="0"/>
          <w:numId w:val="2"/>
        </w:numPr>
        <w:tabs>
          <w:tab w:val="left" w:pos="709"/>
          <w:tab w:val="left" w:pos="4913"/>
          <w:tab w:val="left" w:pos="7050"/>
          <w:tab w:val="left" w:pos="9691"/>
        </w:tabs>
        <w:spacing w:before="113" w:after="120" w:line="360" w:lineRule="auto"/>
        <w:ind w:right="119"/>
        <w:jc w:val="both"/>
        <w:rPr>
          <w:rFonts w:ascii="Arial" w:hAnsi="Arial" w:eastAsia="Azo Sans Lt" w:cs="Arial"/>
          <w:b/>
          <w:lang w:val="pt-BR"/>
        </w:rPr>
      </w:pPr>
      <w:r>
        <w:rPr>
          <w:rFonts w:ascii="Arial" w:hAnsi="Arial" w:eastAsia="Azo Sans Lt" w:cs="Arial"/>
          <w:b/>
          <w:bCs/>
          <w:lang w:val="pt-BR"/>
        </w:rPr>
        <w:t>DOS PREÇOS, ESPECIFICAÇÕES E QUANTITATIVOS</w:t>
      </w:r>
    </w:p>
    <w:p>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lang w:val="pt-BR"/>
        </w:rPr>
      </w:pPr>
      <w:r>
        <w:rPr>
          <w:rFonts w:ascii="Arial" w:hAnsi="Arial" w:eastAsia="Azo Sans Lt" w:cs="Arial"/>
          <w:lang w:val="pt-BR"/>
        </w:rPr>
        <w:t xml:space="preserve">O preço registrado, as especificações do objeto, a quantidade, fornecedor(es) e as demais condições ofertadas na(s) proposta(s) são as que seguem: </w:t>
      </w:r>
    </w:p>
    <w:p>
      <w:pPr>
        <w:tabs>
          <w:tab w:val="left" w:pos="709"/>
          <w:tab w:val="left" w:pos="4913"/>
          <w:tab w:val="left" w:pos="7050"/>
          <w:tab w:val="left" w:pos="9691"/>
        </w:tabs>
        <w:spacing w:line="360" w:lineRule="auto"/>
        <w:ind w:left="0" w:leftChars="0" w:right="119" w:firstLine="0" w:firstLineChars="0"/>
        <w:jc w:val="center"/>
        <w:rPr>
          <w:rFonts w:ascii="Arial" w:hAnsi="Arial" w:eastAsia="Azo Sans Lt" w:cs="Arial"/>
          <w:b/>
          <w:bCs/>
          <w:u w:val="single"/>
        </w:rPr>
      </w:pPr>
      <w:r>
        <w:rPr>
          <w:rFonts w:hint="default" w:ascii="Arial" w:hAnsi="Arial" w:eastAsia="Azo Sans Lt" w:cs="Arial"/>
          <w:b/>
          <w:bCs/>
          <w:u w:val="single"/>
          <w:lang w:val="pt-BR"/>
        </w:rPr>
        <w:t xml:space="preserve">DADOS DO </w:t>
      </w:r>
      <w:r>
        <w:rPr>
          <w:rFonts w:ascii="Arial" w:hAnsi="Arial" w:eastAsia="Azo Sans Lt" w:cs="Arial"/>
          <w:b/>
          <w:bCs/>
          <w:u w:val="single"/>
        </w:rPr>
        <w:t>FORNECEDOR</w:t>
      </w:r>
    </w:p>
    <w:p>
      <w:pPr>
        <w:tabs>
          <w:tab w:val="left" w:pos="709"/>
          <w:tab w:val="left" w:pos="4913"/>
          <w:tab w:val="left" w:pos="7050"/>
          <w:tab w:val="left" w:pos="9691"/>
        </w:tabs>
        <w:spacing w:line="360" w:lineRule="auto"/>
        <w:ind w:left="261" w:right="119"/>
        <w:jc w:val="both"/>
        <w:rPr>
          <w:rFonts w:ascii="Arial" w:hAnsi="Arial" w:eastAsia="Azo Sans Lt" w:cs="Arial"/>
          <w:b/>
          <w:bCs/>
        </w:rPr>
      </w:pPr>
      <w:r>
        <w:rPr>
          <w:rFonts w:ascii="Arial" w:hAnsi="Arial" w:eastAsia="Azo Sans Lt" w:cs="Arial"/>
          <w:b/>
          <w:bCs/>
        </w:rPr>
        <w:t>Razão Social:</w:t>
      </w:r>
    </w:p>
    <w:p>
      <w:pPr>
        <w:tabs>
          <w:tab w:val="left" w:pos="709"/>
          <w:tab w:val="left" w:pos="4913"/>
          <w:tab w:val="left" w:pos="7050"/>
          <w:tab w:val="left" w:pos="9691"/>
        </w:tabs>
        <w:spacing w:line="360" w:lineRule="auto"/>
        <w:ind w:left="261" w:right="119"/>
        <w:jc w:val="both"/>
        <w:rPr>
          <w:rFonts w:ascii="Arial" w:hAnsi="Arial" w:eastAsia="Azo Sans Lt" w:cs="Arial"/>
          <w:b/>
          <w:bCs/>
        </w:rPr>
      </w:pPr>
      <w:r>
        <w:rPr>
          <w:rFonts w:ascii="Arial" w:hAnsi="Arial" w:eastAsia="Azo Sans Lt" w:cs="Arial"/>
          <w:b/>
          <w:bCs/>
        </w:rPr>
        <w:t>CNPJ:</w:t>
      </w:r>
    </w:p>
    <w:p>
      <w:pPr>
        <w:tabs>
          <w:tab w:val="left" w:pos="709"/>
          <w:tab w:val="left" w:pos="4913"/>
          <w:tab w:val="left" w:pos="7050"/>
          <w:tab w:val="left" w:pos="9691"/>
        </w:tabs>
        <w:spacing w:line="360" w:lineRule="auto"/>
        <w:ind w:left="261" w:right="119"/>
        <w:jc w:val="both"/>
        <w:rPr>
          <w:rFonts w:ascii="Arial" w:hAnsi="Arial" w:eastAsia="Azo Sans Lt" w:cs="Arial"/>
          <w:b/>
          <w:bCs/>
        </w:rPr>
      </w:pPr>
      <w:r>
        <w:rPr>
          <w:rFonts w:ascii="Arial" w:hAnsi="Arial" w:eastAsia="Azo Sans Lt" w:cs="Arial"/>
          <w:b/>
          <w:bCs/>
        </w:rPr>
        <w:t>Endereço:</w:t>
      </w:r>
    </w:p>
    <w:p>
      <w:pPr>
        <w:tabs>
          <w:tab w:val="left" w:pos="709"/>
          <w:tab w:val="left" w:pos="4913"/>
          <w:tab w:val="left" w:pos="7050"/>
          <w:tab w:val="left" w:pos="9691"/>
        </w:tabs>
        <w:spacing w:line="360" w:lineRule="auto"/>
        <w:ind w:left="261" w:right="119"/>
        <w:jc w:val="both"/>
        <w:rPr>
          <w:rFonts w:hint="default" w:ascii="Arial" w:hAnsi="Arial" w:eastAsia="Azo Sans Lt" w:cs="Arial"/>
          <w:b/>
          <w:bCs/>
          <w:lang w:val="pt-BR"/>
        </w:rPr>
      </w:pPr>
      <w:r>
        <w:rPr>
          <w:rFonts w:hint="default" w:ascii="Arial" w:hAnsi="Arial" w:eastAsia="Azo Sans Lt" w:cs="Arial"/>
          <w:b/>
          <w:bCs/>
          <w:lang w:val="pt-BR"/>
        </w:rPr>
        <w:t>CEP:</w:t>
      </w:r>
      <w:bookmarkStart w:id="6" w:name="_GoBack"/>
      <w:bookmarkEnd w:id="6"/>
    </w:p>
    <w:p>
      <w:pPr>
        <w:tabs>
          <w:tab w:val="left" w:pos="709"/>
          <w:tab w:val="left" w:pos="4913"/>
          <w:tab w:val="left" w:pos="7050"/>
          <w:tab w:val="left" w:pos="9691"/>
        </w:tabs>
        <w:spacing w:line="360" w:lineRule="auto"/>
        <w:ind w:left="261" w:right="119"/>
        <w:jc w:val="both"/>
        <w:rPr>
          <w:rFonts w:hint="default" w:ascii="Arial" w:hAnsi="Arial" w:eastAsia="Azo Sans Lt" w:cs="Arial"/>
          <w:b/>
          <w:bCs/>
          <w:lang w:val="pt-BR"/>
        </w:rPr>
      </w:pPr>
      <w:r>
        <w:rPr>
          <w:rFonts w:hint="default" w:ascii="Arial" w:hAnsi="Arial" w:eastAsia="Azo Sans Lt" w:cs="Arial"/>
          <w:b/>
          <w:bCs/>
          <w:lang w:val="pt-BR"/>
        </w:rPr>
        <w:t>E-mail:</w:t>
      </w:r>
    </w:p>
    <w:p>
      <w:pPr>
        <w:tabs>
          <w:tab w:val="left" w:pos="709"/>
          <w:tab w:val="left" w:pos="4913"/>
          <w:tab w:val="left" w:pos="7050"/>
          <w:tab w:val="left" w:pos="9691"/>
        </w:tabs>
        <w:spacing w:line="360" w:lineRule="auto"/>
        <w:ind w:left="261" w:right="119"/>
        <w:jc w:val="both"/>
        <w:rPr>
          <w:rFonts w:ascii="Arial" w:hAnsi="Arial" w:eastAsia="Azo Sans Lt" w:cs="Arial"/>
          <w:b/>
          <w:bCs/>
        </w:rPr>
      </w:pPr>
      <w:r>
        <w:rPr>
          <w:rFonts w:ascii="Arial" w:hAnsi="Arial" w:eastAsia="Azo Sans Lt" w:cs="Arial"/>
          <w:b/>
          <w:bCs/>
        </w:rPr>
        <w:t>Contatos:</w:t>
      </w:r>
    </w:p>
    <w:p>
      <w:pPr>
        <w:tabs>
          <w:tab w:val="left" w:pos="709"/>
          <w:tab w:val="left" w:pos="4913"/>
          <w:tab w:val="left" w:pos="7050"/>
          <w:tab w:val="left" w:pos="9691"/>
        </w:tabs>
        <w:spacing w:line="360" w:lineRule="auto"/>
        <w:ind w:left="261" w:right="119"/>
        <w:jc w:val="both"/>
        <w:rPr>
          <w:rFonts w:ascii="Arial" w:hAnsi="Arial" w:eastAsia="Azo Sans Lt" w:cs="Arial"/>
          <w:b/>
          <w:bCs/>
        </w:rPr>
      </w:pPr>
      <w:r>
        <w:rPr>
          <w:rFonts w:ascii="Arial" w:hAnsi="Arial" w:eastAsia="Azo Sans Lt" w:cs="Arial"/>
          <w:b/>
          <w:bCs/>
        </w:rPr>
        <w:t>Representante:</w:t>
      </w:r>
    </w:p>
    <w:p>
      <w:pPr>
        <w:tabs>
          <w:tab w:val="left" w:pos="709"/>
          <w:tab w:val="left" w:pos="4913"/>
          <w:tab w:val="left" w:pos="7050"/>
          <w:tab w:val="left" w:pos="9691"/>
        </w:tabs>
        <w:spacing w:line="360" w:lineRule="auto"/>
        <w:ind w:left="261" w:right="119"/>
        <w:jc w:val="both"/>
        <w:rPr>
          <w:rFonts w:hint="default" w:ascii="Arial" w:hAnsi="Arial" w:eastAsia="Azo Sans Lt" w:cs="Arial"/>
          <w:b/>
          <w:bCs/>
          <w:lang w:val="pt-BR"/>
        </w:rPr>
      </w:pPr>
      <w:r>
        <w:rPr>
          <w:rFonts w:hint="default" w:ascii="Arial" w:hAnsi="Arial" w:eastAsia="Azo Sans Lt" w:cs="Arial"/>
          <w:b/>
          <w:bCs/>
          <w:lang w:val="pt-BR"/>
        </w:rPr>
        <w:t>CPF:</w:t>
      </w:r>
    </w:p>
    <w:p>
      <w:pPr>
        <w:tabs>
          <w:tab w:val="left" w:pos="709"/>
          <w:tab w:val="left" w:pos="4913"/>
          <w:tab w:val="left" w:pos="7050"/>
          <w:tab w:val="left" w:pos="9691"/>
        </w:tabs>
        <w:spacing w:line="360" w:lineRule="auto"/>
        <w:ind w:left="261" w:right="119"/>
        <w:jc w:val="both"/>
        <w:rPr>
          <w:rFonts w:ascii="Arial" w:hAnsi="Arial" w:eastAsia="Azo Sans Lt" w:cs="Arial"/>
          <w:b/>
          <w:bCs/>
        </w:rPr>
      </w:pPr>
    </w:p>
    <w:tbl>
      <w:tblPr>
        <w:tblStyle w:val="5"/>
        <w:tblW w:w="5222" w:type="pct"/>
        <w:tblInd w:w="0" w:type="dxa"/>
        <w:tblLayout w:type="autofit"/>
        <w:tblCellMar>
          <w:top w:w="0" w:type="dxa"/>
          <w:left w:w="70" w:type="dxa"/>
          <w:bottom w:w="0" w:type="dxa"/>
          <w:right w:w="70" w:type="dxa"/>
        </w:tblCellMar>
      </w:tblPr>
      <w:tblGrid>
        <w:gridCol w:w="720"/>
        <w:gridCol w:w="1974"/>
        <w:gridCol w:w="2113"/>
        <w:gridCol w:w="1038"/>
        <w:gridCol w:w="801"/>
        <w:gridCol w:w="881"/>
        <w:gridCol w:w="1308"/>
        <w:gridCol w:w="1381"/>
      </w:tblGrid>
      <w:tr>
        <w:tblPrEx>
          <w:tblCellMar>
            <w:top w:w="0" w:type="dxa"/>
            <w:left w:w="70" w:type="dxa"/>
            <w:bottom w:w="0" w:type="dxa"/>
            <w:right w:w="70" w:type="dxa"/>
          </w:tblCellMar>
        </w:tblPrEx>
        <w:trPr>
          <w:trHeight w:val="347" w:hRule="atLeast"/>
        </w:trPr>
        <w:tc>
          <w:tcPr>
            <w:tcW w:w="353"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 xml:space="preserve">ITEM </w:t>
            </w:r>
          </w:p>
        </w:tc>
        <w:tc>
          <w:tcPr>
            <w:tcW w:w="966" w:type="pct"/>
            <w:vMerge w:val="restart"/>
            <w:tcBorders>
              <w:top w:val="single" w:color="auto" w:sz="4" w:space="0"/>
              <w:left w:val="single" w:color="auto" w:sz="4" w:space="0"/>
              <w:right w:val="single" w:color="auto" w:sz="4" w:space="0"/>
            </w:tcBorders>
            <w:shd w:val="clear" w:color="auto" w:fill="2F5496" w:themeFill="accent1" w:themeFillShade="BF"/>
            <w:vAlign w:val="center"/>
          </w:tcPr>
          <w:p>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 xml:space="preserve">Nº DO REGISTO </w:t>
            </w:r>
          </w:p>
          <w:p>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MS/ANVISA</w:t>
            </w:r>
          </w:p>
        </w:tc>
        <w:tc>
          <w:tcPr>
            <w:tcW w:w="1034"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ESPECIFICAÇÃO</w:t>
            </w:r>
          </w:p>
        </w:tc>
        <w:tc>
          <w:tcPr>
            <w:tcW w:w="508"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MARCA</w:t>
            </w:r>
          </w:p>
        </w:tc>
        <w:tc>
          <w:tcPr>
            <w:tcW w:w="392"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 xml:space="preserve">UNID. </w:t>
            </w:r>
          </w:p>
        </w:tc>
        <w:tc>
          <w:tcPr>
            <w:tcW w:w="431"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QTDE.</w:t>
            </w:r>
          </w:p>
        </w:tc>
        <w:tc>
          <w:tcPr>
            <w:tcW w:w="1316" w:type="pct"/>
            <w:gridSpan w:val="2"/>
            <w:tcBorders>
              <w:top w:val="single" w:color="auto" w:sz="4" w:space="0"/>
              <w:left w:val="nil"/>
              <w:bottom w:val="single" w:color="auto" w:sz="4" w:space="0"/>
              <w:right w:val="single" w:color="auto" w:sz="4" w:space="0"/>
            </w:tcBorders>
            <w:shd w:val="clear" w:color="auto" w:fill="2F5496" w:themeFill="accent1" w:themeFillShade="BF"/>
            <w:vAlign w:val="center"/>
          </w:tcPr>
          <w:p>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PREÇO</w:t>
            </w:r>
          </w:p>
        </w:tc>
      </w:tr>
      <w:tr>
        <w:tblPrEx>
          <w:tblCellMar>
            <w:top w:w="0" w:type="dxa"/>
            <w:left w:w="70" w:type="dxa"/>
            <w:bottom w:w="0" w:type="dxa"/>
            <w:right w:w="70" w:type="dxa"/>
          </w:tblCellMar>
        </w:tblPrEx>
        <w:trPr>
          <w:trHeight w:val="425" w:hRule="atLeast"/>
        </w:trPr>
        <w:tc>
          <w:tcPr>
            <w:tcW w:w="353"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rPr>
                <w:rFonts w:ascii="Arial" w:hAnsi="Arial" w:cs="Arial"/>
                <w:b/>
                <w:bCs/>
                <w:color w:val="FFFFFF" w:themeColor="background1"/>
                <w14:textFill>
                  <w14:solidFill>
                    <w14:schemeClr w14:val="bg1"/>
                  </w14:solidFill>
                </w14:textFill>
              </w:rPr>
            </w:pPr>
          </w:p>
        </w:tc>
        <w:tc>
          <w:tcPr>
            <w:tcW w:w="966" w:type="pct"/>
            <w:vMerge w:val="continue"/>
            <w:tcBorders>
              <w:left w:val="single" w:color="auto" w:sz="4" w:space="0"/>
              <w:bottom w:val="single" w:color="auto" w:sz="4" w:space="0"/>
              <w:right w:val="single" w:color="auto" w:sz="4" w:space="0"/>
            </w:tcBorders>
            <w:shd w:val="clear" w:color="auto" w:fill="2F5496" w:themeFill="accent1" w:themeFillShade="BF"/>
            <w:vAlign w:val="center"/>
          </w:tcPr>
          <w:p>
            <w:pPr>
              <w:rPr>
                <w:rFonts w:ascii="Arial" w:hAnsi="Arial" w:cs="Arial"/>
                <w:b/>
                <w:bCs/>
                <w:color w:val="FFFFFF" w:themeColor="background1"/>
                <w14:textFill>
                  <w14:solidFill>
                    <w14:schemeClr w14:val="bg1"/>
                  </w14:solidFill>
                </w14:textFill>
              </w:rPr>
            </w:pPr>
          </w:p>
        </w:tc>
        <w:tc>
          <w:tcPr>
            <w:tcW w:w="1034"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rPr>
                <w:rFonts w:ascii="Arial" w:hAnsi="Arial" w:cs="Arial"/>
                <w:b/>
                <w:bCs/>
                <w:color w:val="FFFFFF" w:themeColor="background1"/>
                <w14:textFill>
                  <w14:solidFill>
                    <w14:schemeClr w14:val="bg1"/>
                  </w14:solidFill>
                </w14:textFill>
              </w:rPr>
            </w:pPr>
          </w:p>
        </w:tc>
        <w:tc>
          <w:tcPr>
            <w:tcW w:w="508"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rPr>
                <w:rFonts w:ascii="Arial" w:hAnsi="Arial" w:cs="Arial"/>
                <w:b/>
                <w:bCs/>
                <w:color w:val="FFFFFF" w:themeColor="background1"/>
                <w14:textFill>
                  <w14:solidFill>
                    <w14:schemeClr w14:val="bg1"/>
                  </w14:solidFill>
                </w14:textFill>
              </w:rPr>
            </w:pPr>
          </w:p>
        </w:tc>
        <w:tc>
          <w:tcPr>
            <w:tcW w:w="392"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rPr>
                <w:rFonts w:ascii="Arial" w:hAnsi="Arial" w:cs="Arial"/>
                <w:b/>
                <w:bCs/>
                <w:color w:val="FFFFFF" w:themeColor="background1"/>
                <w14:textFill>
                  <w14:solidFill>
                    <w14:schemeClr w14:val="bg1"/>
                  </w14:solidFill>
                </w14:textFill>
              </w:rPr>
            </w:pPr>
          </w:p>
        </w:tc>
        <w:tc>
          <w:tcPr>
            <w:tcW w:w="431"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rPr>
                <w:rFonts w:ascii="Arial" w:hAnsi="Arial" w:cs="Arial"/>
                <w:b/>
                <w:bCs/>
                <w:color w:val="FFFFFF" w:themeColor="background1"/>
                <w14:textFill>
                  <w14:solidFill>
                    <w14:schemeClr w14:val="bg1"/>
                  </w14:solidFill>
                </w14:textFill>
              </w:rPr>
            </w:pPr>
          </w:p>
        </w:tc>
        <w:tc>
          <w:tcPr>
            <w:tcW w:w="640" w:type="pct"/>
            <w:tcBorders>
              <w:top w:val="single" w:color="auto" w:sz="4" w:space="0"/>
              <w:left w:val="nil"/>
              <w:bottom w:val="single" w:color="auto" w:sz="4" w:space="0"/>
              <w:right w:val="single" w:color="auto" w:sz="4" w:space="0"/>
            </w:tcBorders>
            <w:shd w:val="clear" w:color="auto" w:fill="2F5496" w:themeFill="accent1" w:themeFillShade="BF"/>
            <w:vAlign w:val="center"/>
          </w:tcPr>
          <w:p>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UNITÁRIO</w:t>
            </w:r>
          </w:p>
        </w:tc>
        <w:tc>
          <w:tcPr>
            <w:tcW w:w="676" w:type="pct"/>
            <w:tcBorders>
              <w:top w:val="single" w:color="auto" w:sz="4" w:space="0"/>
              <w:left w:val="nil"/>
              <w:bottom w:val="single" w:color="auto" w:sz="4" w:space="0"/>
              <w:right w:val="single" w:color="auto" w:sz="4" w:space="0"/>
            </w:tcBorders>
            <w:shd w:val="clear" w:color="auto" w:fill="2F5496" w:themeFill="accent1" w:themeFillShade="BF"/>
            <w:vAlign w:val="center"/>
          </w:tcPr>
          <w:p>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TOTAL</w:t>
            </w:r>
          </w:p>
        </w:tc>
      </w:tr>
      <w:tr>
        <w:tblPrEx>
          <w:tblCellMar>
            <w:top w:w="0" w:type="dxa"/>
            <w:left w:w="70" w:type="dxa"/>
            <w:bottom w:w="0" w:type="dxa"/>
            <w:right w:w="70" w:type="dxa"/>
          </w:tblCellMar>
        </w:tblPrEx>
        <w:trPr>
          <w:trHeight w:val="732" w:hRule="atLeast"/>
        </w:trPr>
        <w:tc>
          <w:tcPr>
            <w:tcW w:w="35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rPr>
            </w:pPr>
            <w:r>
              <w:rPr>
                <w:rFonts w:ascii="Arial" w:hAnsi="Arial" w:cs="Arial"/>
                <w:color w:val="000000"/>
              </w:rPr>
              <w:t>1</w:t>
            </w:r>
          </w:p>
        </w:tc>
        <w:tc>
          <w:tcPr>
            <w:tcW w:w="966" w:type="pct"/>
            <w:tcBorders>
              <w:top w:val="single" w:color="auto" w:sz="4" w:space="0"/>
              <w:left w:val="nil"/>
              <w:bottom w:val="single" w:color="auto" w:sz="4" w:space="0"/>
              <w:right w:val="single" w:color="auto" w:sz="4" w:space="0"/>
            </w:tcBorders>
            <w:vAlign w:val="center"/>
          </w:tcPr>
          <w:p>
            <w:pPr>
              <w:jc w:val="center"/>
              <w:rPr>
                <w:rFonts w:ascii="Arial" w:hAnsi="Arial" w:cs="Arial"/>
                <w:color w:val="000000"/>
              </w:rPr>
            </w:pPr>
          </w:p>
        </w:tc>
        <w:tc>
          <w:tcPr>
            <w:tcW w:w="1034"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rPr>
            </w:pPr>
          </w:p>
        </w:tc>
        <w:tc>
          <w:tcPr>
            <w:tcW w:w="508" w:type="pct"/>
            <w:tcBorders>
              <w:top w:val="single" w:color="auto" w:sz="4" w:space="0"/>
              <w:left w:val="nil"/>
              <w:bottom w:val="single" w:color="auto" w:sz="4" w:space="0"/>
              <w:right w:val="single" w:color="auto" w:sz="4" w:space="0"/>
            </w:tcBorders>
            <w:shd w:val="clear" w:color="auto" w:fill="auto"/>
            <w:vAlign w:val="center"/>
          </w:tcPr>
          <w:p>
            <w:pPr>
              <w:rPr>
                <w:rFonts w:ascii="Arial" w:hAnsi="Arial" w:cs="Arial"/>
                <w:color w:val="000000"/>
              </w:rPr>
            </w:pPr>
          </w:p>
        </w:tc>
        <w:tc>
          <w:tcPr>
            <w:tcW w:w="392" w:type="pct"/>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rPr>
            </w:pPr>
          </w:p>
        </w:tc>
        <w:tc>
          <w:tcPr>
            <w:tcW w:w="431" w:type="pct"/>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rPr>
            </w:pPr>
          </w:p>
        </w:tc>
        <w:tc>
          <w:tcPr>
            <w:tcW w:w="640" w:type="pct"/>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rPr>
            </w:pPr>
          </w:p>
        </w:tc>
        <w:tc>
          <w:tcPr>
            <w:tcW w:w="676" w:type="pct"/>
            <w:tcBorders>
              <w:top w:val="single" w:color="auto" w:sz="4" w:space="0"/>
              <w:left w:val="nil"/>
              <w:bottom w:val="single" w:color="auto" w:sz="4" w:space="0"/>
              <w:right w:val="single" w:color="auto" w:sz="4" w:space="0"/>
            </w:tcBorders>
            <w:shd w:val="clear" w:color="auto" w:fill="auto"/>
            <w:vAlign w:val="center"/>
          </w:tcPr>
          <w:p>
            <w:pPr>
              <w:jc w:val="right"/>
              <w:rPr>
                <w:rFonts w:ascii="Arial" w:hAnsi="Arial" w:cs="Arial"/>
                <w:color w:val="000000"/>
              </w:rPr>
            </w:pPr>
          </w:p>
        </w:tc>
      </w:tr>
      <w:tr>
        <w:tblPrEx>
          <w:tblCellMar>
            <w:top w:w="0" w:type="dxa"/>
            <w:left w:w="70" w:type="dxa"/>
            <w:bottom w:w="0" w:type="dxa"/>
            <w:right w:w="70" w:type="dxa"/>
          </w:tblCellMar>
        </w:tblPrEx>
        <w:trPr>
          <w:trHeight w:val="732" w:hRule="atLeast"/>
        </w:trPr>
        <w:tc>
          <w:tcPr>
            <w:tcW w:w="35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rPr>
            </w:pPr>
            <w:r>
              <w:rPr>
                <w:rFonts w:ascii="Arial" w:hAnsi="Arial" w:cs="Arial"/>
                <w:color w:val="000000"/>
              </w:rPr>
              <w:t>2</w:t>
            </w:r>
          </w:p>
        </w:tc>
        <w:tc>
          <w:tcPr>
            <w:tcW w:w="966" w:type="pct"/>
            <w:tcBorders>
              <w:top w:val="single" w:color="auto" w:sz="4" w:space="0"/>
              <w:left w:val="nil"/>
              <w:bottom w:val="single" w:color="auto" w:sz="4" w:space="0"/>
              <w:right w:val="single" w:color="auto" w:sz="4" w:space="0"/>
            </w:tcBorders>
            <w:vAlign w:val="center"/>
          </w:tcPr>
          <w:p>
            <w:pPr>
              <w:jc w:val="center"/>
              <w:rPr>
                <w:rFonts w:ascii="Arial" w:hAnsi="Arial" w:cs="Arial"/>
                <w:color w:val="000000"/>
              </w:rPr>
            </w:pPr>
          </w:p>
        </w:tc>
        <w:tc>
          <w:tcPr>
            <w:tcW w:w="1034" w:type="pct"/>
            <w:tcBorders>
              <w:top w:val="single" w:color="auto" w:sz="4" w:space="0"/>
              <w:left w:val="single" w:color="auto" w:sz="4" w:space="0"/>
              <w:bottom w:val="single" w:color="auto" w:sz="4" w:space="0"/>
              <w:right w:val="nil"/>
            </w:tcBorders>
            <w:shd w:val="clear" w:color="auto" w:fill="auto"/>
            <w:vAlign w:val="center"/>
          </w:tcPr>
          <w:p>
            <w:pPr>
              <w:jc w:val="center"/>
              <w:rPr>
                <w:rFonts w:ascii="Arial" w:hAnsi="Arial" w:cs="Arial"/>
                <w:color w:val="000000"/>
              </w:rPr>
            </w:pPr>
          </w:p>
        </w:tc>
        <w:tc>
          <w:tcPr>
            <w:tcW w:w="508" w:type="pct"/>
            <w:tcBorders>
              <w:top w:val="single" w:color="auto" w:sz="4" w:space="0"/>
              <w:left w:val="single" w:color="auto" w:sz="4" w:space="0"/>
              <w:bottom w:val="single" w:color="auto" w:sz="4" w:space="0"/>
              <w:right w:val="nil"/>
            </w:tcBorders>
            <w:shd w:val="clear" w:color="auto" w:fill="auto"/>
            <w:vAlign w:val="center"/>
          </w:tcPr>
          <w:p>
            <w:pPr>
              <w:rPr>
                <w:rFonts w:ascii="Arial" w:hAnsi="Arial" w:cs="Arial"/>
                <w:color w:val="000000"/>
              </w:rPr>
            </w:pPr>
          </w:p>
        </w:tc>
        <w:tc>
          <w:tcPr>
            <w:tcW w:w="392" w:type="pct"/>
            <w:tcBorders>
              <w:top w:val="single" w:color="auto" w:sz="4" w:space="0"/>
              <w:left w:val="single" w:color="auto" w:sz="4" w:space="0"/>
              <w:bottom w:val="single" w:color="auto" w:sz="4" w:space="0"/>
              <w:right w:val="nil"/>
            </w:tcBorders>
            <w:shd w:val="clear" w:color="auto" w:fill="auto"/>
            <w:vAlign w:val="center"/>
          </w:tcPr>
          <w:p>
            <w:pPr>
              <w:jc w:val="center"/>
              <w:rPr>
                <w:rFonts w:ascii="Arial" w:hAnsi="Arial" w:cs="Arial"/>
                <w:color w:val="000000"/>
              </w:rPr>
            </w:pPr>
          </w:p>
        </w:tc>
        <w:tc>
          <w:tcPr>
            <w:tcW w:w="431"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rPr>
            </w:pPr>
          </w:p>
        </w:tc>
        <w:tc>
          <w:tcPr>
            <w:tcW w:w="640" w:type="pct"/>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rPr>
            </w:pPr>
          </w:p>
        </w:tc>
        <w:tc>
          <w:tcPr>
            <w:tcW w:w="676" w:type="pct"/>
            <w:tcBorders>
              <w:top w:val="single" w:color="auto" w:sz="4" w:space="0"/>
              <w:left w:val="nil"/>
              <w:bottom w:val="single" w:color="auto" w:sz="4" w:space="0"/>
              <w:right w:val="single" w:color="auto" w:sz="4" w:space="0"/>
            </w:tcBorders>
            <w:shd w:val="clear" w:color="auto" w:fill="auto"/>
            <w:vAlign w:val="center"/>
          </w:tcPr>
          <w:p>
            <w:pPr>
              <w:jc w:val="right"/>
              <w:rPr>
                <w:rFonts w:ascii="Arial" w:hAnsi="Arial" w:cs="Arial"/>
                <w:color w:val="000000"/>
              </w:rPr>
            </w:pPr>
          </w:p>
        </w:tc>
      </w:tr>
      <w:tr>
        <w:tblPrEx>
          <w:tblCellMar>
            <w:top w:w="0" w:type="dxa"/>
            <w:left w:w="70" w:type="dxa"/>
            <w:bottom w:w="0" w:type="dxa"/>
            <w:right w:w="70" w:type="dxa"/>
          </w:tblCellMar>
        </w:tblPrEx>
        <w:trPr>
          <w:trHeight w:val="732" w:hRule="atLeast"/>
        </w:trPr>
        <w:tc>
          <w:tcPr>
            <w:tcW w:w="35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rPr>
            </w:pPr>
            <w:r>
              <w:rPr>
                <w:rFonts w:ascii="Arial" w:hAnsi="Arial" w:cs="Arial"/>
                <w:color w:val="000000"/>
              </w:rPr>
              <w:t>3</w:t>
            </w:r>
          </w:p>
        </w:tc>
        <w:tc>
          <w:tcPr>
            <w:tcW w:w="966" w:type="pct"/>
            <w:tcBorders>
              <w:top w:val="single" w:color="auto" w:sz="4" w:space="0"/>
              <w:left w:val="nil"/>
              <w:bottom w:val="single" w:color="auto" w:sz="4" w:space="0"/>
              <w:right w:val="single" w:color="auto" w:sz="4" w:space="0"/>
            </w:tcBorders>
            <w:vAlign w:val="center"/>
          </w:tcPr>
          <w:p>
            <w:pPr>
              <w:jc w:val="center"/>
              <w:rPr>
                <w:rFonts w:ascii="Arial" w:hAnsi="Arial" w:cs="Arial"/>
                <w:color w:val="000000"/>
              </w:rPr>
            </w:pPr>
          </w:p>
        </w:tc>
        <w:tc>
          <w:tcPr>
            <w:tcW w:w="1034" w:type="pct"/>
            <w:tcBorders>
              <w:top w:val="single" w:color="auto" w:sz="4" w:space="0"/>
              <w:left w:val="single" w:color="auto" w:sz="4" w:space="0"/>
              <w:bottom w:val="single" w:color="auto" w:sz="4" w:space="0"/>
              <w:right w:val="nil"/>
            </w:tcBorders>
            <w:shd w:val="clear" w:color="auto" w:fill="auto"/>
            <w:vAlign w:val="center"/>
          </w:tcPr>
          <w:p>
            <w:pPr>
              <w:jc w:val="center"/>
              <w:rPr>
                <w:rFonts w:ascii="Arial" w:hAnsi="Arial" w:cs="Arial"/>
                <w:color w:val="000000"/>
              </w:rPr>
            </w:pPr>
          </w:p>
        </w:tc>
        <w:tc>
          <w:tcPr>
            <w:tcW w:w="508" w:type="pct"/>
            <w:tcBorders>
              <w:top w:val="single" w:color="auto" w:sz="4" w:space="0"/>
              <w:left w:val="single" w:color="auto" w:sz="4" w:space="0"/>
              <w:bottom w:val="single" w:color="auto" w:sz="4" w:space="0"/>
              <w:right w:val="nil"/>
            </w:tcBorders>
            <w:shd w:val="clear" w:color="auto" w:fill="auto"/>
            <w:vAlign w:val="center"/>
          </w:tcPr>
          <w:p>
            <w:pPr>
              <w:rPr>
                <w:rFonts w:ascii="Arial" w:hAnsi="Arial" w:cs="Arial"/>
                <w:color w:val="000000"/>
              </w:rPr>
            </w:pPr>
          </w:p>
        </w:tc>
        <w:tc>
          <w:tcPr>
            <w:tcW w:w="392" w:type="pct"/>
            <w:tcBorders>
              <w:top w:val="single" w:color="auto" w:sz="4" w:space="0"/>
              <w:left w:val="single" w:color="auto" w:sz="4" w:space="0"/>
              <w:bottom w:val="single" w:color="auto" w:sz="4" w:space="0"/>
              <w:right w:val="nil"/>
            </w:tcBorders>
            <w:shd w:val="clear" w:color="auto" w:fill="auto"/>
            <w:vAlign w:val="center"/>
          </w:tcPr>
          <w:p>
            <w:pPr>
              <w:jc w:val="center"/>
              <w:rPr>
                <w:rFonts w:ascii="Arial" w:hAnsi="Arial" w:cs="Arial"/>
                <w:color w:val="000000"/>
              </w:rPr>
            </w:pPr>
          </w:p>
        </w:tc>
        <w:tc>
          <w:tcPr>
            <w:tcW w:w="431"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rPr>
            </w:pPr>
          </w:p>
        </w:tc>
        <w:tc>
          <w:tcPr>
            <w:tcW w:w="640" w:type="pct"/>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rPr>
            </w:pPr>
          </w:p>
        </w:tc>
        <w:tc>
          <w:tcPr>
            <w:tcW w:w="676" w:type="pct"/>
            <w:tcBorders>
              <w:top w:val="single" w:color="auto" w:sz="4" w:space="0"/>
              <w:left w:val="nil"/>
              <w:bottom w:val="single" w:color="auto" w:sz="4" w:space="0"/>
              <w:right w:val="single" w:color="auto" w:sz="4" w:space="0"/>
            </w:tcBorders>
            <w:shd w:val="clear" w:color="auto" w:fill="auto"/>
            <w:vAlign w:val="center"/>
          </w:tcPr>
          <w:p>
            <w:pPr>
              <w:jc w:val="right"/>
              <w:rPr>
                <w:rFonts w:ascii="Arial" w:hAnsi="Arial" w:cs="Arial"/>
                <w:color w:val="000000"/>
              </w:rPr>
            </w:pPr>
          </w:p>
        </w:tc>
      </w:tr>
      <w:tr>
        <w:tblPrEx>
          <w:tblCellMar>
            <w:top w:w="0" w:type="dxa"/>
            <w:left w:w="70" w:type="dxa"/>
            <w:bottom w:w="0" w:type="dxa"/>
            <w:right w:w="70" w:type="dxa"/>
          </w:tblCellMar>
        </w:tblPrEx>
        <w:trPr>
          <w:trHeight w:val="732" w:hRule="atLeast"/>
        </w:trPr>
        <w:tc>
          <w:tcPr>
            <w:tcW w:w="35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rPr>
            </w:pPr>
            <w:r>
              <w:rPr>
                <w:rFonts w:ascii="Arial" w:hAnsi="Arial" w:cs="Arial"/>
                <w:color w:val="000000"/>
              </w:rPr>
              <w:t>...</w:t>
            </w:r>
          </w:p>
        </w:tc>
        <w:tc>
          <w:tcPr>
            <w:tcW w:w="966" w:type="pct"/>
            <w:tcBorders>
              <w:top w:val="single" w:color="auto" w:sz="4" w:space="0"/>
              <w:left w:val="nil"/>
              <w:bottom w:val="single" w:color="auto" w:sz="4" w:space="0"/>
              <w:right w:val="single" w:color="auto" w:sz="4" w:space="0"/>
            </w:tcBorders>
            <w:vAlign w:val="center"/>
          </w:tcPr>
          <w:p>
            <w:pPr>
              <w:jc w:val="center"/>
              <w:rPr>
                <w:rFonts w:ascii="Arial" w:hAnsi="Arial" w:cs="Arial"/>
                <w:color w:val="000000"/>
              </w:rPr>
            </w:pPr>
          </w:p>
        </w:tc>
        <w:tc>
          <w:tcPr>
            <w:tcW w:w="1034" w:type="pct"/>
            <w:tcBorders>
              <w:top w:val="single" w:color="auto" w:sz="4" w:space="0"/>
              <w:left w:val="single" w:color="auto" w:sz="4" w:space="0"/>
              <w:bottom w:val="single" w:color="auto" w:sz="4" w:space="0"/>
              <w:right w:val="nil"/>
            </w:tcBorders>
            <w:shd w:val="clear" w:color="auto" w:fill="auto"/>
            <w:vAlign w:val="center"/>
          </w:tcPr>
          <w:p>
            <w:pPr>
              <w:jc w:val="center"/>
              <w:rPr>
                <w:rFonts w:ascii="Arial" w:hAnsi="Arial" w:cs="Arial"/>
                <w:color w:val="000000"/>
              </w:rPr>
            </w:pPr>
          </w:p>
        </w:tc>
        <w:tc>
          <w:tcPr>
            <w:tcW w:w="508" w:type="pct"/>
            <w:tcBorders>
              <w:top w:val="single" w:color="auto" w:sz="4" w:space="0"/>
              <w:left w:val="single" w:color="auto" w:sz="4" w:space="0"/>
              <w:bottom w:val="single" w:color="auto" w:sz="4" w:space="0"/>
              <w:right w:val="nil"/>
            </w:tcBorders>
            <w:shd w:val="clear" w:color="auto" w:fill="auto"/>
            <w:vAlign w:val="center"/>
          </w:tcPr>
          <w:p>
            <w:pPr>
              <w:rPr>
                <w:rFonts w:ascii="Arial" w:hAnsi="Arial" w:cs="Arial"/>
                <w:color w:val="000000"/>
              </w:rPr>
            </w:pPr>
          </w:p>
        </w:tc>
        <w:tc>
          <w:tcPr>
            <w:tcW w:w="392" w:type="pct"/>
            <w:tcBorders>
              <w:top w:val="single" w:color="auto" w:sz="4" w:space="0"/>
              <w:left w:val="single" w:color="auto" w:sz="4" w:space="0"/>
              <w:bottom w:val="single" w:color="auto" w:sz="4" w:space="0"/>
              <w:right w:val="nil"/>
            </w:tcBorders>
            <w:shd w:val="clear" w:color="auto" w:fill="auto"/>
            <w:noWrap/>
            <w:vAlign w:val="center"/>
          </w:tcPr>
          <w:p>
            <w:pPr>
              <w:jc w:val="center"/>
              <w:rPr>
                <w:rFonts w:ascii="Arial" w:hAnsi="Arial" w:cs="Arial"/>
                <w:color w:val="000000"/>
              </w:rPr>
            </w:pPr>
          </w:p>
        </w:tc>
        <w:tc>
          <w:tcPr>
            <w:tcW w:w="431"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Arial" w:hAnsi="Arial" w:cs="Arial"/>
                <w:color w:val="000000"/>
              </w:rPr>
            </w:pPr>
          </w:p>
        </w:tc>
        <w:tc>
          <w:tcPr>
            <w:tcW w:w="640" w:type="pct"/>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rPr>
            </w:pPr>
          </w:p>
        </w:tc>
        <w:tc>
          <w:tcPr>
            <w:tcW w:w="676" w:type="pct"/>
            <w:tcBorders>
              <w:top w:val="single" w:color="auto" w:sz="4" w:space="0"/>
              <w:left w:val="nil"/>
              <w:bottom w:val="single" w:color="auto" w:sz="4" w:space="0"/>
              <w:right w:val="single" w:color="auto" w:sz="4" w:space="0"/>
            </w:tcBorders>
            <w:shd w:val="clear" w:color="auto" w:fill="auto"/>
            <w:vAlign w:val="center"/>
          </w:tcPr>
          <w:p>
            <w:pPr>
              <w:jc w:val="right"/>
              <w:rPr>
                <w:rFonts w:ascii="Arial" w:hAnsi="Arial" w:cs="Arial"/>
                <w:color w:val="000000"/>
              </w:rPr>
            </w:pPr>
          </w:p>
        </w:tc>
      </w:tr>
      <w:tr>
        <w:tblPrEx>
          <w:tblCellMar>
            <w:top w:w="0" w:type="dxa"/>
            <w:left w:w="70" w:type="dxa"/>
            <w:bottom w:w="0" w:type="dxa"/>
            <w:right w:w="70" w:type="dxa"/>
          </w:tblCellMar>
        </w:tblPrEx>
        <w:trPr>
          <w:trHeight w:val="714" w:hRule="atLeast"/>
        </w:trPr>
        <w:tc>
          <w:tcPr>
            <w:tcW w:w="4324" w:type="pct"/>
            <w:gridSpan w:val="7"/>
            <w:tcBorders>
              <w:top w:val="single" w:color="auto" w:sz="4" w:space="0"/>
              <w:left w:val="single" w:color="auto" w:sz="4" w:space="0"/>
              <w:bottom w:val="single" w:color="auto" w:sz="4" w:space="0"/>
              <w:right w:val="single" w:color="auto" w:sz="4" w:space="0"/>
            </w:tcBorders>
            <w:shd w:val="clear" w:color="CCFFCC" w:fill="DDDDDD"/>
            <w:vAlign w:val="center"/>
          </w:tcPr>
          <w:p>
            <w:pPr>
              <w:jc w:val="right"/>
              <w:rPr>
                <w:rFonts w:ascii="Arial" w:hAnsi="Arial" w:cs="Arial"/>
                <w:b/>
                <w:bCs/>
                <w:color w:val="000000"/>
              </w:rPr>
            </w:pPr>
            <w:r>
              <w:rPr>
                <w:rFonts w:ascii="Arial" w:hAnsi="Arial" w:cs="Arial"/>
                <w:b/>
                <w:bCs/>
                <w:color w:val="000000"/>
              </w:rPr>
              <w:t>TOTAL REGISTRADO</w:t>
            </w:r>
          </w:p>
        </w:tc>
        <w:tc>
          <w:tcPr>
            <w:tcW w:w="676" w:type="pct"/>
            <w:tcBorders>
              <w:top w:val="nil"/>
              <w:left w:val="nil"/>
              <w:bottom w:val="single" w:color="auto" w:sz="4" w:space="0"/>
              <w:right w:val="single" w:color="auto" w:sz="4" w:space="0"/>
            </w:tcBorders>
            <w:shd w:val="clear" w:color="CCFFCC" w:fill="DDDDDD"/>
            <w:vAlign w:val="center"/>
          </w:tcPr>
          <w:p>
            <w:pPr>
              <w:jc w:val="right"/>
              <w:rPr>
                <w:rFonts w:ascii="Arial" w:hAnsi="Arial" w:cs="Arial"/>
                <w:b/>
                <w:bCs/>
                <w:color w:val="000000"/>
              </w:rPr>
            </w:pPr>
            <w:r>
              <w:rPr>
                <w:rFonts w:ascii="Arial" w:hAnsi="Arial" w:cs="Arial"/>
                <w:b/>
                <w:bCs/>
                <w:color w:val="000000"/>
              </w:rPr>
              <w:t> </w:t>
            </w:r>
          </w:p>
        </w:tc>
      </w:tr>
    </w:tbl>
    <w:p>
      <w:pPr>
        <w:tabs>
          <w:tab w:val="left" w:pos="709"/>
        </w:tabs>
        <w:spacing w:before="199" w:line="360" w:lineRule="auto"/>
        <w:ind w:left="284" w:right="747"/>
        <w:jc w:val="both"/>
        <w:outlineLvl w:val="0"/>
        <w:rPr>
          <w:rFonts w:ascii="Arial" w:hAnsi="Arial" w:eastAsia="Gill Sans MT" w:cs="Arial"/>
          <w:b/>
          <w:bCs/>
          <w:spacing w:val="-3"/>
        </w:rPr>
      </w:pPr>
    </w:p>
    <w:p>
      <w:pPr>
        <w:numPr>
          <w:ilvl w:val="0"/>
          <w:numId w:val="2"/>
        </w:numPr>
        <w:tabs>
          <w:tab w:val="left" w:pos="709"/>
          <w:tab w:val="left" w:pos="4913"/>
          <w:tab w:val="left" w:pos="7050"/>
          <w:tab w:val="left" w:pos="9691"/>
        </w:tabs>
        <w:spacing w:before="113" w:after="120" w:line="360" w:lineRule="auto"/>
        <w:ind w:right="119"/>
        <w:jc w:val="both"/>
        <w:rPr>
          <w:rFonts w:ascii="Arial" w:hAnsi="Arial" w:eastAsia="Azo Sans Lt" w:cs="Arial"/>
          <w:b/>
          <w:bCs/>
          <w:lang w:val="pt-BR"/>
        </w:rPr>
      </w:pPr>
      <w:r>
        <w:rPr>
          <w:rFonts w:ascii="Arial" w:hAnsi="Arial" w:eastAsia="Azo Sans Lt" w:cs="Arial"/>
          <w:b/>
          <w:bCs/>
          <w:lang w:val="pt-BR"/>
        </w:rPr>
        <w:t>ÓRGÃO(S) GERENCIADOR E  PARTICIPANTE(S)</w:t>
      </w:r>
    </w:p>
    <w:p>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color w:val="auto"/>
          <w:lang w:val="pt-BR"/>
        </w:rPr>
      </w:pPr>
      <w:r>
        <w:rPr>
          <w:rFonts w:ascii="Arial" w:hAnsi="Arial" w:eastAsia="Azo Sans Lt" w:cs="Arial"/>
          <w:color w:val="auto"/>
          <w:lang w:val="pt-BR"/>
        </w:rPr>
        <w:t xml:space="preserve">O órgão gerenciador será </w:t>
      </w:r>
      <w:r>
        <w:rPr>
          <w:rFonts w:hint="default" w:ascii="Arial" w:hAnsi="Arial" w:eastAsia="Azo Sans Lt" w:cs="Arial"/>
          <w:color w:val="auto"/>
          <w:lang w:val="pt-BR"/>
        </w:rPr>
        <w:t>a Secretaria de Infraestrutura e Obras.</w:t>
      </w:r>
    </w:p>
    <w:p>
      <w:pPr>
        <w:tabs>
          <w:tab w:val="left" w:pos="709"/>
        </w:tabs>
        <w:spacing w:before="199" w:line="360" w:lineRule="auto"/>
        <w:ind w:right="747"/>
        <w:jc w:val="both"/>
        <w:outlineLvl w:val="0"/>
        <w:rPr>
          <w:rFonts w:ascii="Arial" w:hAnsi="Arial" w:eastAsia="Gill Sans MT" w:cs="Arial"/>
          <w:b/>
          <w:bCs/>
          <w:spacing w:val="-3"/>
        </w:rPr>
      </w:pPr>
    </w:p>
    <w:p>
      <w:pPr>
        <w:numPr>
          <w:ilvl w:val="0"/>
          <w:numId w:val="2"/>
        </w:numPr>
        <w:tabs>
          <w:tab w:val="left" w:pos="709"/>
          <w:tab w:val="left" w:pos="4913"/>
          <w:tab w:val="left" w:pos="7050"/>
          <w:tab w:val="left" w:pos="9691"/>
        </w:tabs>
        <w:spacing w:before="113" w:after="120" w:line="360" w:lineRule="auto"/>
        <w:ind w:right="119"/>
        <w:jc w:val="both"/>
        <w:rPr>
          <w:rFonts w:ascii="Arial" w:hAnsi="Arial" w:eastAsia="Azo Sans Lt" w:cs="Arial"/>
          <w:b/>
          <w:bCs/>
          <w:lang w:val="pt-BR"/>
        </w:rPr>
      </w:pPr>
      <w:r>
        <w:rPr>
          <w:rFonts w:ascii="Arial" w:hAnsi="Arial" w:eastAsia="Azo Sans Lt" w:cs="Arial"/>
          <w:b/>
          <w:bCs/>
          <w:lang w:val="pt-BR"/>
        </w:rPr>
        <w:t xml:space="preserve">DA ADESÃO À ATA DE REGISTRO DE PREÇOS </w:t>
      </w:r>
    </w:p>
    <w:p>
      <w:pPr>
        <w:pStyle w:val="36"/>
        <w:numPr>
          <w:ilvl w:val="1"/>
          <w:numId w:val="2"/>
        </w:numPr>
        <w:ind w:left="0" w:firstLine="0"/>
        <w:rPr>
          <w:i w:val="0"/>
          <w:iCs w:val="0"/>
          <w:color w:val="auto"/>
          <w:sz w:val="22"/>
          <w:szCs w:val="22"/>
        </w:rPr>
      </w:pPr>
      <w:r>
        <w:rPr>
          <w:i w:val="0"/>
          <w:iCs w:val="0"/>
          <w:color w:val="auto"/>
          <w:sz w:val="22"/>
          <w:szCs w:val="22"/>
        </w:rPr>
        <w:t>Durante a vigência da ata, os órgãos e as entidades da Administração Pública Municipal que não participaram do procedimento de Registro de Preços poderão aderir à ata de registro de preços na condição de não participantes, observados os seguintes requisitos:</w:t>
      </w:r>
    </w:p>
    <w:p>
      <w:pPr>
        <w:pStyle w:val="30"/>
        <w:numPr>
          <w:ilvl w:val="2"/>
          <w:numId w:val="2"/>
        </w:numPr>
        <w:ind w:left="284" w:firstLine="0"/>
        <w:rPr>
          <w:i w:val="0"/>
          <w:iCs w:val="0"/>
          <w:color w:val="auto"/>
          <w:sz w:val="22"/>
          <w:szCs w:val="22"/>
        </w:rPr>
      </w:pPr>
      <w:r>
        <w:rPr>
          <w:i w:val="0"/>
          <w:iCs w:val="0"/>
          <w:color w:val="auto"/>
          <w:sz w:val="22"/>
          <w:szCs w:val="22"/>
        </w:rPr>
        <w:t>apresentação de justificativa da vantagem da adesão, inclusive em situações de provável desabastecimento ou descontinuidade de serviço público;</w:t>
      </w:r>
    </w:p>
    <w:p>
      <w:pPr>
        <w:pStyle w:val="30"/>
        <w:numPr>
          <w:ilvl w:val="2"/>
          <w:numId w:val="2"/>
        </w:numPr>
        <w:ind w:left="284" w:firstLine="0"/>
        <w:rPr>
          <w:i w:val="0"/>
          <w:iCs w:val="0"/>
          <w:color w:val="auto"/>
          <w:sz w:val="22"/>
          <w:szCs w:val="22"/>
        </w:rPr>
      </w:pPr>
      <w:r>
        <w:rPr>
          <w:i w:val="0"/>
          <w:iCs w:val="0"/>
          <w:color w:val="auto"/>
          <w:sz w:val="22"/>
          <w:szCs w:val="22"/>
        </w:rPr>
        <w:t xml:space="preserve"> demonstração de que os valores registrados estão compatíveis com os valores praticados pelo mercado na forma do art. 23 da Lei nº 14.133, de 2021; e</w:t>
      </w:r>
    </w:p>
    <w:p>
      <w:pPr>
        <w:pStyle w:val="30"/>
        <w:numPr>
          <w:ilvl w:val="2"/>
          <w:numId w:val="2"/>
        </w:numPr>
        <w:ind w:left="284" w:firstLine="0"/>
        <w:rPr>
          <w:i w:val="0"/>
          <w:iCs w:val="0"/>
          <w:color w:val="auto"/>
          <w:sz w:val="22"/>
          <w:szCs w:val="22"/>
        </w:rPr>
      </w:pPr>
      <w:r>
        <w:rPr>
          <w:i w:val="0"/>
          <w:iCs w:val="0"/>
          <w:color w:val="auto"/>
          <w:sz w:val="22"/>
          <w:szCs w:val="22"/>
        </w:rPr>
        <w:t xml:space="preserve"> consulta e aceitação prévias do órgão ou da entidade gerenciadora e do fornecedor.</w:t>
      </w:r>
    </w:p>
    <w:p>
      <w:pPr>
        <w:pStyle w:val="36"/>
        <w:numPr>
          <w:ilvl w:val="1"/>
          <w:numId w:val="2"/>
        </w:numPr>
        <w:ind w:left="0" w:firstLine="0"/>
        <w:rPr>
          <w:i w:val="0"/>
          <w:iCs w:val="0"/>
          <w:color w:val="auto"/>
          <w:sz w:val="22"/>
          <w:szCs w:val="22"/>
        </w:rPr>
      </w:pPr>
      <w:r>
        <w:rPr>
          <w:i w:val="0"/>
          <w:iCs w:val="0"/>
          <w:color w:val="auto"/>
          <w:sz w:val="22"/>
          <w:szCs w:val="22"/>
        </w:rPr>
        <w:t>A autorização do órgão ou entidade gerenciadora apenas será realizada após a aceitação da adesão pelo fornecedor.</w:t>
      </w:r>
    </w:p>
    <w:p>
      <w:pPr>
        <w:pStyle w:val="30"/>
        <w:numPr>
          <w:ilvl w:val="2"/>
          <w:numId w:val="2"/>
        </w:numPr>
        <w:ind w:left="284" w:firstLine="0"/>
        <w:rPr>
          <w:i w:val="0"/>
          <w:iCs w:val="0"/>
          <w:color w:val="auto"/>
          <w:sz w:val="22"/>
          <w:szCs w:val="22"/>
        </w:rPr>
      </w:pPr>
      <w:r>
        <w:rPr>
          <w:i w:val="0"/>
          <w:iCs w:val="0"/>
          <w:color w:val="auto"/>
          <w:sz w:val="22"/>
          <w:szCs w:val="22"/>
        </w:rPr>
        <w:t>O órgão ou entidade gerenciadora poderá rejeitar adesões caso elas possam acarretar prejuízo à execução de seus próprios contratos ou à sua capacidade de gerenciamento.</w:t>
      </w:r>
    </w:p>
    <w:p>
      <w:pPr>
        <w:pStyle w:val="36"/>
        <w:numPr>
          <w:ilvl w:val="1"/>
          <w:numId w:val="2"/>
        </w:numPr>
        <w:ind w:left="0" w:firstLine="0"/>
        <w:rPr>
          <w:i w:val="0"/>
          <w:iCs w:val="0"/>
          <w:color w:val="auto"/>
          <w:sz w:val="22"/>
          <w:szCs w:val="22"/>
        </w:rPr>
      </w:pPr>
      <w:r>
        <w:rPr>
          <w:i w:val="0"/>
          <w:iCs w:val="0"/>
          <w:color w:val="auto"/>
          <w:sz w:val="22"/>
          <w:szCs w:val="22"/>
        </w:rPr>
        <w:t xml:space="preserve"> Após a autorização do órgão ou da entidade gerenciadora, o órgão ou entidade não participante deverá efetivar a aquisição ou a contratação solicitada em até noventa dias, observado o prazo de vigência da ata.</w:t>
      </w:r>
    </w:p>
    <w:p>
      <w:pPr>
        <w:pStyle w:val="36"/>
        <w:numPr>
          <w:ilvl w:val="1"/>
          <w:numId w:val="2"/>
        </w:numPr>
        <w:ind w:left="0" w:firstLine="0"/>
        <w:rPr>
          <w:i w:val="0"/>
          <w:iCs w:val="0"/>
          <w:color w:val="auto"/>
          <w:sz w:val="22"/>
          <w:szCs w:val="22"/>
        </w:rPr>
      </w:pPr>
      <w:r>
        <w:rPr>
          <w:i w:val="0"/>
          <w:iCs w:val="0"/>
          <w:color w:val="auto"/>
          <w:sz w:val="22"/>
          <w:szCs w:val="22"/>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pPr>
        <w:pStyle w:val="36"/>
        <w:numPr>
          <w:ilvl w:val="1"/>
          <w:numId w:val="2"/>
        </w:numPr>
        <w:ind w:left="0" w:firstLine="0"/>
        <w:rPr>
          <w:i w:val="0"/>
          <w:iCs w:val="0"/>
          <w:color w:val="auto"/>
          <w:sz w:val="22"/>
          <w:szCs w:val="22"/>
        </w:rPr>
      </w:pPr>
      <w:r>
        <w:rPr>
          <w:i w:val="0"/>
          <w:iCs w:val="0"/>
          <w:color w:val="auto"/>
          <w:sz w:val="22"/>
          <w:szCs w:val="22"/>
        </w:rPr>
        <w:t>O órgão ou a entidade poderá aderir a item da ata de registro de preços da qual seja integrante, na qualidade de não participante, para aqueles itens para os quais não tenha quantitativo registrado, observados os requisitos do item 4.1.</w:t>
      </w:r>
    </w:p>
    <w:p>
      <w:pPr>
        <w:pStyle w:val="41"/>
        <w:rPr>
          <w:iCs w:val="0"/>
          <w:sz w:val="22"/>
          <w:szCs w:val="22"/>
        </w:rPr>
      </w:pPr>
      <w:r>
        <w:rPr>
          <w:iCs w:val="0"/>
          <w:sz w:val="22"/>
          <w:szCs w:val="22"/>
        </w:rPr>
        <w:t>Dos limites para as adesões</w:t>
      </w:r>
    </w:p>
    <w:p>
      <w:pPr>
        <w:pStyle w:val="36"/>
        <w:numPr>
          <w:ilvl w:val="1"/>
          <w:numId w:val="2"/>
        </w:numPr>
        <w:ind w:left="0" w:firstLine="0"/>
        <w:rPr>
          <w:i w:val="0"/>
          <w:iCs w:val="0"/>
          <w:color w:val="auto"/>
          <w:sz w:val="22"/>
          <w:szCs w:val="22"/>
        </w:rPr>
      </w:pPr>
      <w:r>
        <w:rPr>
          <w:i w:val="0"/>
          <w:iCs w:val="0"/>
          <w:color w:val="auto"/>
          <w:sz w:val="22"/>
          <w:szCs w:val="22"/>
        </w:rPr>
        <w:t>As aquisições ou contratações adicionais não poderão exceder, por órgão ou entidade, a cinquenta por cento dos quantitativos dos itens do instrumento convocatório registrados na ata de registro de preços para o gerenciador e para os participantes.</w:t>
      </w:r>
    </w:p>
    <w:p>
      <w:pPr>
        <w:pStyle w:val="36"/>
        <w:numPr>
          <w:ilvl w:val="1"/>
          <w:numId w:val="2"/>
        </w:numPr>
        <w:ind w:left="0" w:firstLine="0"/>
        <w:rPr>
          <w:i w:val="0"/>
          <w:iCs w:val="0"/>
          <w:color w:val="auto"/>
          <w:sz w:val="22"/>
          <w:szCs w:val="22"/>
        </w:rPr>
      </w:pPr>
      <w:r>
        <w:rPr>
          <w:i w:val="0"/>
          <w:iCs w:val="0"/>
          <w:color w:val="auto"/>
          <w:sz w:val="22"/>
          <w:szCs w:val="22"/>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pPr>
        <w:pStyle w:val="41"/>
        <w:rPr>
          <w:sz w:val="22"/>
          <w:szCs w:val="22"/>
        </w:rPr>
      </w:pPr>
      <w:r>
        <w:rPr>
          <w:sz w:val="22"/>
          <w:szCs w:val="22"/>
        </w:rPr>
        <w:t>Vedação a acréscimo de quantitativos</w:t>
      </w:r>
    </w:p>
    <w:p>
      <w:pPr>
        <w:pStyle w:val="28"/>
        <w:numPr>
          <w:ilvl w:val="1"/>
          <w:numId w:val="2"/>
        </w:numPr>
        <w:ind w:left="0" w:firstLine="0"/>
        <w:rPr>
          <w:sz w:val="22"/>
          <w:szCs w:val="22"/>
        </w:rPr>
      </w:pPr>
      <w:r>
        <w:rPr>
          <w:sz w:val="22"/>
          <w:szCs w:val="22"/>
        </w:rPr>
        <w:t>É vedado efetuar acréscimos nos quantitativos fixados na ata de registro de preços.</w:t>
      </w:r>
    </w:p>
    <w:p>
      <w:pPr>
        <w:tabs>
          <w:tab w:val="left" w:pos="567"/>
          <w:tab w:val="left" w:pos="4913"/>
          <w:tab w:val="left" w:pos="7050"/>
          <w:tab w:val="left" w:pos="9691"/>
        </w:tabs>
        <w:spacing w:before="113" w:after="120" w:line="360" w:lineRule="auto"/>
        <w:ind w:right="119"/>
        <w:jc w:val="both"/>
        <w:rPr>
          <w:rFonts w:ascii="Arial" w:hAnsi="Arial" w:eastAsia="Azo Sans Lt" w:cs="Arial"/>
          <w:lang w:val="pt-BR"/>
        </w:rPr>
      </w:pPr>
    </w:p>
    <w:p>
      <w:pPr>
        <w:numPr>
          <w:ilvl w:val="0"/>
          <w:numId w:val="2"/>
        </w:numPr>
        <w:tabs>
          <w:tab w:val="left" w:pos="709"/>
          <w:tab w:val="left" w:pos="4913"/>
          <w:tab w:val="left" w:pos="7050"/>
          <w:tab w:val="left" w:pos="9691"/>
        </w:tabs>
        <w:spacing w:before="113" w:after="120" w:line="360" w:lineRule="auto"/>
        <w:ind w:right="119"/>
        <w:jc w:val="both"/>
        <w:rPr>
          <w:rFonts w:ascii="Arial" w:hAnsi="Arial" w:eastAsia="Azo Sans Lt" w:cs="Arial"/>
          <w:b/>
          <w:bCs/>
          <w:lang w:val="pt-BR"/>
        </w:rPr>
      </w:pPr>
      <w:r>
        <w:rPr>
          <w:rFonts w:ascii="Arial" w:hAnsi="Arial" w:eastAsia="Azo Sans Lt" w:cs="Arial"/>
          <w:b/>
          <w:bCs/>
          <w:lang w:val="pt-BR"/>
        </w:rPr>
        <w:t>DA VALIDADE, FORMALIZAÇÃO DA ATA DE REGISTRO DE PREÇOS E CADASTRO RESERVA</w:t>
      </w:r>
    </w:p>
    <w:p>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lang w:val="pt-BR"/>
        </w:rPr>
      </w:pPr>
      <w:r>
        <w:rPr>
          <w:rFonts w:ascii="Arial" w:hAnsi="Arial" w:eastAsia="Azo Sans Lt" w:cs="Arial"/>
          <w:lang w:val="pt-BR"/>
        </w:rPr>
        <w:t xml:space="preserve">- A validade da Ata de Registro de Preços será de 1 (um) ano, </w:t>
      </w:r>
      <w:r>
        <w:rPr>
          <w:rFonts w:ascii="Arial" w:hAnsi="Arial" w:eastAsia="Azo Sans Lt" w:cs="Arial"/>
          <w:b/>
          <w:bCs/>
          <w:lang w:val="pt-BR"/>
        </w:rPr>
        <w:t>contado a partir do primeiro dia útil subsequente à data de sua divulgação no PNCP</w:t>
      </w:r>
      <w:r>
        <w:rPr>
          <w:rFonts w:ascii="Arial" w:hAnsi="Arial" w:eastAsia="Azo Sans Lt" w:cs="Arial"/>
          <w:lang w:val="pt-BR"/>
        </w:rPr>
        <w:t xml:space="preserve">, cujo acesso poderá ser realizado através do link: </w:t>
      </w:r>
      <w:r>
        <w:fldChar w:fldCharType="begin"/>
      </w:r>
      <w:r>
        <w:instrText xml:space="preserve"> HYPERLINK "https://pncp.gov.br/app/atas?pagina=1" </w:instrText>
      </w:r>
      <w:r>
        <w:fldChar w:fldCharType="separate"/>
      </w:r>
      <w:r>
        <w:rPr>
          <w:rStyle w:val="8"/>
          <w:rFonts w:ascii="Arial" w:hAnsi="Arial" w:eastAsia="Azo Sans Lt" w:cs="Arial"/>
          <w:lang w:val="pt-BR"/>
        </w:rPr>
        <w:t>https://pncp.gov.br/app/atas?pagina=1</w:t>
      </w:r>
      <w:r>
        <w:rPr>
          <w:rStyle w:val="8"/>
          <w:rFonts w:ascii="Arial" w:hAnsi="Arial" w:eastAsia="Azo Sans Lt" w:cs="Arial"/>
          <w:lang w:val="pt-BR"/>
        </w:rPr>
        <w:fldChar w:fldCharType="end"/>
      </w:r>
      <w:r>
        <w:rPr>
          <w:rFonts w:ascii="Arial" w:hAnsi="Arial" w:eastAsia="Azo Sans Lt" w:cs="Arial"/>
          <w:lang w:val="pt-BR"/>
        </w:rPr>
        <w:t xml:space="preserve">, podendo ter sua validade prorrogada por igual período com a </w:t>
      </w:r>
      <w:r>
        <w:rPr>
          <w:rFonts w:ascii="Arial" w:hAnsi="Arial" w:eastAsia="Azo Sans Lt" w:cs="Arial"/>
        </w:rPr>
        <w:t>renovação do quantitativo inicialmente registrado</w:t>
      </w:r>
      <w:r>
        <w:rPr>
          <w:rFonts w:ascii="Arial" w:hAnsi="Arial" w:eastAsia="Azo Sans Lt" w:cs="Arial"/>
          <w:lang w:val="pt-BR"/>
        </w:rPr>
        <w:t>, mediante a anuência do fornecedor, desde que comprovado o preço vantajoso.</w:t>
      </w:r>
    </w:p>
    <w:p>
      <w:pPr>
        <w:pStyle w:val="31"/>
        <w:numPr>
          <w:ilvl w:val="2"/>
          <w:numId w:val="2"/>
        </w:numPr>
        <w:spacing w:line="360" w:lineRule="auto"/>
        <w:ind w:left="284" w:firstLine="0"/>
        <w:rPr>
          <w:sz w:val="22"/>
          <w:szCs w:val="22"/>
        </w:rPr>
      </w:pPr>
      <w:r>
        <w:rPr>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pPr>
        <w:pStyle w:val="31"/>
        <w:numPr>
          <w:ilvl w:val="2"/>
          <w:numId w:val="2"/>
        </w:numPr>
        <w:spacing w:line="360" w:lineRule="auto"/>
        <w:ind w:left="284" w:firstLine="0"/>
        <w:rPr>
          <w:sz w:val="22"/>
          <w:szCs w:val="22"/>
        </w:rPr>
      </w:pPr>
      <w:r>
        <w:rPr>
          <w:sz w:val="22"/>
          <w:szCs w:val="22"/>
        </w:rPr>
        <w:t>Na formalização do contrato ou do instrumento substituto deverá haver a indicação da disponibilidade dos créditos orçamentários respectivos.</w:t>
      </w:r>
    </w:p>
    <w:p>
      <w:pPr>
        <w:pStyle w:val="28"/>
        <w:numPr>
          <w:ilvl w:val="1"/>
          <w:numId w:val="2"/>
        </w:numPr>
        <w:spacing w:line="360" w:lineRule="auto"/>
        <w:ind w:left="0" w:firstLine="0"/>
        <w:rPr>
          <w:sz w:val="22"/>
          <w:szCs w:val="22"/>
        </w:rPr>
      </w:pPr>
      <w:r>
        <w:rPr>
          <w:sz w:val="22"/>
          <w:szCs w:val="22"/>
        </w:rPr>
        <w:t>A contratação com os fornecedores registrados na ata será formalizada pelo órgão ou pela en</w:t>
      </w:r>
      <w:r>
        <w:rPr>
          <w:rFonts w:eastAsia="Arial"/>
          <w:sz w:val="22"/>
          <w:szCs w:val="22"/>
        </w:rPr>
        <w:t>ti</w:t>
      </w:r>
      <w:r>
        <w:rPr>
          <w:sz w:val="22"/>
          <w:szCs w:val="22"/>
        </w:rPr>
        <w:t>dade interessada por intermédio de instrumento contratual, emissão de nota de empenho de despesa, autorização de compra ou outro instrumento hábil, conforme o art. 95 da Lei nº 14.133, de 2021.</w:t>
      </w:r>
    </w:p>
    <w:p>
      <w:pPr>
        <w:pStyle w:val="31"/>
        <w:numPr>
          <w:ilvl w:val="2"/>
          <w:numId w:val="2"/>
        </w:numPr>
        <w:spacing w:line="360" w:lineRule="auto"/>
        <w:ind w:left="284" w:firstLine="0"/>
        <w:rPr>
          <w:sz w:val="22"/>
          <w:szCs w:val="22"/>
        </w:rPr>
      </w:pPr>
      <w:r>
        <w:rPr>
          <w:sz w:val="22"/>
          <w:szCs w:val="22"/>
        </w:rPr>
        <w:t xml:space="preserve"> O instrumento contratual de que trata o item anterior deverá ser assinado no prazo de validade da ata de registro de preços.</w:t>
      </w:r>
    </w:p>
    <w:p>
      <w:pPr>
        <w:pStyle w:val="28"/>
        <w:numPr>
          <w:ilvl w:val="1"/>
          <w:numId w:val="2"/>
        </w:numPr>
        <w:spacing w:line="360" w:lineRule="auto"/>
        <w:ind w:left="0" w:firstLine="0"/>
        <w:rPr>
          <w:sz w:val="22"/>
          <w:szCs w:val="22"/>
        </w:rPr>
      </w:pPr>
      <w:r>
        <w:rPr>
          <w:sz w:val="22"/>
          <w:szCs w:val="22"/>
        </w:rPr>
        <w:t>Os contratos decorrentes do sistema de registro de preços poderão ser alterados, observado o art. 124 da Lei nº 14.133, de 2021.</w:t>
      </w:r>
    </w:p>
    <w:p>
      <w:pPr>
        <w:pStyle w:val="28"/>
        <w:numPr>
          <w:ilvl w:val="1"/>
          <w:numId w:val="2"/>
        </w:numPr>
        <w:spacing w:line="360" w:lineRule="auto"/>
        <w:ind w:left="0" w:firstLine="0"/>
        <w:rPr>
          <w:sz w:val="22"/>
          <w:szCs w:val="22"/>
        </w:rPr>
      </w:pPr>
      <w:r>
        <w:rPr>
          <w:sz w:val="22"/>
          <w:szCs w:val="22"/>
        </w:rPr>
        <w:t>Após a homologação da licitação, deverão ser observadas as seguintes condições para formalização da ata de registro de preços:</w:t>
      </w:r>
    </w:p>
    <w:p>
      <w:pPr>
        <w:pStyle w:val="31"/>
        <w:numPr>
          <w:ilvl w:val="2"/>
          <w:numId w:val="2"/>
        </w:numPr>
        <w:spacing w:line="360" w:lineRule="auto"/>
        <w:ind w:left="284" w:firstLine="0"/>
        <w:rPr>
          <w:sz w:val="22"/>
          <w:szCs w:val="22"/>
        </w:rPr>
      </w:pPr>
      <w:r>
        <w:rPr>
          <w:sz w:val="22"/>
          <w:szCs w:val="22"/>
        </w:rPr>
        <w:t>Serão registrados na ata os preços e os quantita</w:t>
      </w:r>
      <w:r>
        <w:rPr>
          <w:rFonts w:eastAsia="Arial"/>
          <w:sz w:val="22"/>
          <w:szCs w:val="22"/>
        </w:rPr>
        <w:t>ti</w:t>
      </w:r>
      <w:r>
        <w:rPr>
          <w:sz w:val="22"/>
          <w:szCs w:val="22"/>
        </w:rPr>
        <w:t>vos do adjudicatário, devendo ser observada a possibilidade de o licitante oferecer ou não proposta em quantitativo inferior ao máximo previsto no edital e se obrigar nos limites dela;</w:t>
      </w:r>
    </w:p>
    <w:p>
      <w:pPr>
        <w:pStyle w:val="31"/>
        <w:numPr>
          <w:ilvl w:val="2"/>
          <w:numId w:val="2"/>
        </w:numPr>
        <w:spacing w:line="360" w:lineRule="auto"/>
        <w:ind w:left="284" w:firstLine="0"/>
        <w:rPr>
          <w:sz w:val="22"/>
          <w:szCs w:val="22"/>
        </w:rPr>
      </w:pPr>
      <w:r>
        <w:rPr>
          <w:sz w:val="22"/>
          <w:szCs w:val="22"/>
        </w:rPr>
        <w:t>Será incluído na ata, na forma de anexo, o registro dos licitantes ou dos fornecedores que:</w:t>
      </w:r>
    </w:p>
    <w:p>
      <w:pPr>
        <w:pStyle w:val="32"/>
        <w:numPr>
          <w:ilvl w:val="3"/>
          <w:numId w:val="2"/>
        </w:numPr>
        <w:spacing w:line="360" w:lineRule="auto"/>
        <w:ind w:left="567" w:firstLine="0"/>
        <w:rPr>
          <w:sz w:val="22"/>
          <w:szCs w:val="22"/>
        </w:rPr>
      </w:pPr>
      <w:r>
        <w:rPr>
          <w:sz w:val="22"/>
          <w:szCs w:val="22"/>
        </w:rPr>
        <w:t xml:space="preserve">Aceitarem cotar os bens, as obras ou os serviços com preços iguais aos do adjudicatário, observada a classificação da licitação; e </w:t>
      </w:r>
    </w:p>
    <w:p>
      <w:pPr>
        <w:pStyle w:val="32"/>
        <w:numPr>
          <w:ilvl w:val="3"/>
          <w:numId w:val="2"/>
        </w:numPr>
        <w:spacing w:line="360" w:lineRule="auto"/>
        <w:ind w:left="567" w:firstLine="0"/>
        <w:rPr>
          <w:sz w:val="22"/>
          <w:szCs w:val="22"/>
        </w:rPr>
      </w:pPr>
      <w:r>
        <w:rPr>
          <w:sz w:val="22"/>
          <w:szCs w:val="22"/>
        </w:rPr>
        <w:t>Mantiverem sua proposta original pelo período de vigência da Ata.</w:t>
      </w:r>
      <w:bookmarkStart w:id="0" w:name="cadastro_reserva"/>
      <w:bookmarkEnd w:id="0"/>
    </w:p>
    <w:p>
      <w:pPr>
        <w:pStyle w:val="31"/>
        <w:numPr>
          <w:ilvl w:val="2"/>
          <w:numId w:val="2"/>
        </w:numPr>
        <w:spacing w:line="360" w:lineRule="auto"/>
        <w:ind w:left="284" w:firstLine="0"/>
        <w:rPr>
          <w:sz w:val="22"/>
          <w:szCs w:val="22"/>
        </w:rPr>
      </w:pPr>
      <w:r>
        <w:rPr>
          <w:sz w:val="22"/>
          <w:szCs w:val="22"/>
        </w:rPr>
        <w:t>Será respeitada, nas contratações, a ordem de classificação dos licitantes ou dos fornecedores registrados na ata.</w:t>
      </w:r>
    </w:p>
    <w:p>
      <w:pPr>
        <w:pStyle w:val="28"/>
        <w:numPr>
          <w:ilvl w:val="1"/>
          <w:numId w:val="2"/>
        </w:numPr>
        <w:spacing w:line="360" w:lineRule="auto"/>
        <w:ind w:left="0" w:firstLine="0"/>
        <w:rPr>
          <w:sz w:val="22"/>
          <w:szCs w:val="22"/>
        </w:rPr>
      </w:pPr>
      <w:r>
        <w:rPr>
          <w:sz w:val="22"/>
          <w:szCs w:val="22"/>
        </w:rPr>
        <w:t>O registro a que se refere o item 5.4.2</w:t>
      </w:r>
      <w:r>
        <w:rPr>
          <w:b/>
          <w:bCs/>
          <w:sz w:val="22"/>
          <w:szCs w:val="22"/>
        </w:rPr>
        <w:t xml:space="preserve"> </w:t>
      </w:r>
      <w:r>
        <w:rPr>
          <w:sz w:val="22"/>
          <w:szCs w:val="22"/>
        </w:rPr>
        <w:t>tem por obje</w:t>
      </w:r>
      <w:r>
        <w:rPr>
          <w:rFonts w:eastAsia="Arial"/>
          <w:sz w:val="22"/>
          <w:szCs w:val="22"/>
        </w:rPr>
        <w:t>ti</w:t>
      </w:r>
      <w:r>
        <w:rPr>
          <w:sz w:val="22"/>
          <w:szCs w:val="22"/>
        </w:rPr>
        <w:t>vo a formação de cadastro de reserva para o caso de impossibilidade de atendimento pelo signatário da ata.</w:t>
      </w:r>
    </w:p>
    <w:p>
      <w:pPr>
        <w:pStyle w:val="28"/>
        <w:numPr>
          <w:ilvl w:val="1"/>
          <w:numId w:val="2"/>
        </w:numPr>
        <w:spacing w:line="360" w:lineRule="auto"/>
        <w:ind w:left="0" w:firstLine="0"/>
        <w:rPr>
          <w:sz w:val="22"/>
          <w:szCs w:val="22"/>
        </w:rPr>
      </w:pPr>
      <w:r>
        <w:rPr>
          <w:sz w:val="22"/>
          <w:szCs w:val="22"/>
        </w:rPr>
        <w:t>Para fins da ordem de classificação, os licitantes ou fornecedores que aceitarem reduzir suas propostas para o preço do adjudicatário antecederão aqueles que mantiverem sua proposta original.</w:t>
      </w:r>
    </w:p>
    <w:p>
      <w:pPr>
        <w:pStyle w:val="28"/>
        <w:numPr>
          <w:ilvl w:val="1"/>
          <w:numId w:val="2"/>
        </w:numPr>
        <w:spacing w:line="360" w:lineRule="auto"/>
        <w:ind w:left="0" w:firstLine="0"/>
        <w:rPr>
          <w:sz w:val="22"/>
          <w:szCs w:val="22"/>
        </w:rPr>
      </w:pPr>
      <w:r>
        <w:rPr>
          <w:sz w:val="22"/>
          <w:szCs w:val="22"/>
        </w:rPr>
        <w:t xml:space="preserve">A habilitação dos licitantes que comporão o cadastro de reserva a que se refere o item </w:t>
      </w:r>
      <w:r>
        <w:rPr>
          <w:sz w:val="22"/>
          <w:szCs w:val="22"/>
        </w:rPr>
        <w:fldChar w:fldCharType="begin"/>
      </w:r>
      <w:r>
        <w:rPr>
          <w:sz w:val="22"/>
          <w:szCs w:val="22"/>
        </w:rPr>
        <w:instrText xml:space="preserve"> REF cadastro_reserva \r \h  \* MERGEFORMAT </w:instrText>
      </w:r>
      <w:r>
        <w:rPr>
          <w:sz w:val="22"/>
          <w:szCs w:val="22"/>
        </w:rPr>
        <w:fldChar w:fldCharType="separate"/>
      </w:r>
      <w:r>
        <w:rPr>
          <w:sz w:val="22"/>
          <w:szCs w:val="22"/>
        </w:rPr>
        <w:t>5.4.2.2</w:t>
      </w:r>
      <w:r>
        <w:rPr>
          <w:sz w:val="22"/>
          <w:szCs w:val="22"/>
        </w:rPr>
        <w:fldChar w:fldCharType="end"/>
      </w:r>
      <w:r>
        <w:rPr>
          <w:sz w:val="22"/>
          <w:szCs w:val="22"/>
        </w:rPr>
        <w:t xml:space="preserve"> somente será efetuada quando houver necessidade de contratação dos licitantes remanescentes, nas seguintes hipóteses:</w:t>
      </w:r>
      <w:bookmarkStart w:id="1" w:name="habilitacao_reserva"/>
      <w:bookmarkEnd w:id="1"/>
    </w:p>
    <w:p>
      <w:pPr>
        <w:pStyle w:val="31"/>
        <w:numPr>
          <w:ilvl w:val="2"/>
          <w:numId w:val="2"/>
        </w:numPr>
        <w:spacing w:line="360" w:lineRule="auto"/>
        <w:ind w:left="284" w:firstLine="0"/>
        <w:rPr>
          <w:sz w:val="22"/>
          <w:szCs w:val="22"/>
        </w:rPr>
      </w:pPr>
      <w:r>
        <w:rPr>
          <w:sz w:val="22"/>
          <w:szCs w:val="22"/>
        </w:rPr>
        <w:t>Quando o licitante vencedor não assinar a ata de registro de preços, no prazo e nas condições estabelecidos no edital; e</w:t>
      </w:r>
    </w:p>
    <w:p>
      <w:pPr>
        <w:pStyle w:val="31"/>
        <w:numPr>
          <w:ilvl w:val="2"/>
          <w:numId w:val="2"/>
        </w:numPr>
        <w:spacing w:line="360" w:lineRule="auto"/>
        <w:ind w:left="284" w:firstLine="0"/>
        <w:rPr>
          <w:sz w:val="22"/>
          <w:szCs w:val="22"/>
        </w:rPr>
      </w:pPr>
      <w:r>
        <w:rPr>
          <w:sz w:val="22"/>
          <w:szCs w:val="22"/>
        </w:rPr>
        <w:t>Quando houver o cancelamento do registro do licitante ou do registro de preços nas hipóteses previstas no item 08.</w:t>
      </w:r>
    </w:p>
    <w:p>
      <w:pPr>
        <w:pStyle w:val="28"/>
        <w:numPr>
          <w:ilvl w:val="1"/>
          <w:numId w:val="2"/>
        </w:numPr>
        <w:spacing w:line="360" w:lineRule="auto"/>
        <w:ind w:left="0" w:firstLine="0"/>
        <w:rPr>
          <w:sz w:val="22"/>
          <w:szCs w:val="22"/>
        </w:rPr>
      </w:pPr>
      <w:r>
        <w:rPr>
          <w:sz w:val="22"/>
          <w:szCs w:val="22"/>
        </w:rPr>
        <w:t>Após a homologação da licitação, o licitante mais bem classificado, será convocado para assinar a ata de registro de preços, no prazo e nas condições estabelecidos no edital de licitação, sob pena de decair o direito, sem prejuízo das sanções previstas na Lei nº 14.133, de 2021.</w:t>
      </w:r>
    </w:p>
    <w:p>
      <w:pPr>
        <w:pStyle w:val="31"/>
        <w:numPr>
          <w:ilvl w:val="2"/>
          <w:numId w:val="2"/>
        </w:numPr>
        <w:spacing w:line="360" w:lineRule="auto"/>
        <w:ind w:left="284" w:firstLine="0"/>
        <w:rPr>
          <w:sz w:val="22"/>
          <w:szCs w:val="22"/>
        </w:rPr>
      </w:pPr>
      <w:r>
        <w:rPr>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pPr>
        <w:pStyle w:val="28"/>
        <w:numPr>
          <w:ilvl w:val="1"/>
          <w:numId w:val="2"/>
        </w:numPr>
        <w:spacing w:line="360" w:lineRule="auto"/>
        <w:ind w:left="0" w:firstLine="0"/>
        <w:rPr>
          <w:sz w:val="22"/>
          <w:szCs w:val="22"/>
        </w:rPr>
      </w:pPr>
      <w:r>
        <w:rPr>
          <w:sz w:val="22"/>
          <w:szCs w:val="22"/>
        </w:rPr>
        <w:t>A ata de registro de preços será assinada por meio de assinatura digital e disponibilizada no  sítio eletrônico oficial da Prefeitura de Nova Friburgo, através do endereço https://www.novafriburgo.rj.gov.br/licitacao/.</w:t>
      </w:r>
    </w:p>
    <w:p>
      <w:pPr>
        <w:pStyle w:val="28"/>
        <w:numPr>
          <w:ilvl w:val="1"/>
          <w:numId w:val="2"/>
        </w:numPr>
        <w:spacing w:line="360" w:lineRule="auto"/>
        <w:ind w:left="0" w:firstLine="0"/>
        <w:rPr>
          <w:sz w:val="22"/>
          <w:szCs w:val="22"/>
        </w:rPr>
      </w:pPr>
      <w:r>
        <w:rPr>
          <w:sz w:val="22"/>
          <w:szCs w:val="22"/>
        </w:rPr>
        <w:t>Quando o convocado não assinar a ata de registro de preços no prazo e nas condições estabelecidos no edital, observando o item 5.8 e subitens, fica facultado à Administração convocar os licitantes remanescentes do cadastro de reserva, na ordem de classificação, para fazê-lo em igual prazo e nas condições propostas pelo primeiro classificado.</w:t>
      </w:r>
      <w:bookmarkStart w:id="2" w:name="recusa_dos_que_baixaram_preco"/>
      <w:bookmarkEnd w:id="2"/>
    </w:p>
    <w:p>
      <w:pPr>
        <w:pStyle w:val="28"/>
        <w:numPr>
          <w:ilvl w:val="1"/>
          <w:numId w:val="2"/>
        </w:numPr>
        <w:spacing w:line="360" w:lineRule="auto"/>
        <w:ind w:left="0" w:firstLine="0"/>
        <w:rPr>
          <w:sz w:val="22"/>
          <w:szCs w:val="22"/>
        </w:rPr>
      </w:pPr>
      <w:r>
        <w:rPr>
          <w:sz w:val="22"/>
          <w:szCs w:val="22"/>
        </w:rPr>
        <w:t>Na hipótese de nenhum dos licitantes que trata o item 5.4.2.1, aceitar a contratação nos termos do item anterior, o Órgão Gerenciador, observados o valor es</w:t>
      </w:r>
      <w:r>
        <w:rPr>
          <w:rFonts w:eastAsia="Arial"/>
          <w:sz w:val="22"/>
          <w:szCs w:val="22"/>
        </w:rPr>
        <w:t>ti</w:t>
      </w:r>
      <w:r>
        <w:rPr>
          <w:sz w:val="22"/>
          <w:szCs w:val="22"/>
        </w:rPr>
        <w:t>mado e sua eventual atualização nos termos do edital, poderá:</w:t>
      </w:r>
    </w:p>
    <w:p>
      <w:pPr>
        <w:pStyle w:val="31"/>
        <w:numPr>
          <w:ilvl w:val="2"/>
          <w:numId w:val="2"/>
        </w:numPr>
        <w:spacing w:line="360" w:lineRule="auto"/>
        <w:ind w:left="284" w:firstLine="0"/>
        <w:rPr>
          <w:sz w:val="22"/>
          <w:szCs w:val="22"/>
        </w:rPr>
      </w:pPr>
      <w:r>
        <w:rPr>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pPr>
        <w:pStyle w:val="31"/>
        <w:numPr>
          <w:ilvl w:val="2"/>
          <w:numId w:val="2"/>
        </w:numPr>
        <w:spacing w:line="360" w:lineRule="auto"/>
        <w:ind w:left="284" w:firstLine="0"/>
        <w:rPr>
          <w:sz w:val="22"/>
          <w:szCs w:val="22"/>
        </w:rPr>
      </w:pPr>
      <w:r>
        <w:rPr>
          <w:sz w:val="22"/>
          <w:szCs w:val="22"/>
        </w:rPr>
        <w:t>Adjudicar e firmar o contrato nas condições ofertadas pelos licitantes ou fornecedores remanescentes, atendida a ordem classificatória, quando frustrada a negociação de melhor condição.</w:t>
      </w:r>
    </w:p>
    <w:p>
      <w:pPr>
        <w:pStyle w:val="28"/>
        <w:numPr>
          <w:ilvl w:val="1"/>
          <w:numId w:val="2"/>
        </w:numPr>
        <w:spacing w:line="360" w:lineRule="auto"/>
        <w:ind w:left="0" w:firstLine="0"/>
        <w:rPr>
          <w:sz w:val="22"/>
          <w:szCs w:val="22"/>
        </w:rPr>
      </w:pPr>
      <w:r>
        <w:rPr>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28"/>
        <w:spacing w:line="360" w:lineRule="auto"/>
        <w:rPr>
          <w:sz w:val="22"/>
          <w:szCs w:val="22"/>
          <w:highlight w:val="cyan"/>
        </w:rPr>
      </w:pPr>
    </w:p>
    <w:p>
      <w:pPr>
        <w:numPr>
          <w:ilvl w:val="0"/>
          <w:numId w:val="2"/>
        </w:numPr>
        <w:tabs>
          <w:tab w:val="left" w:pos="709"/>
          <w:tab w:val="left" w:pos="4913"/>
          <w:tab w:val="left" w:pos="7050"/>
          <w:tab w:val="left" w:pos="9691"/>
        </w:tabs>
        <w:spacing w:before="113" w:after="120" w:line="360" w:lineRule="auto"/>
        <w:ind w:right="119"/>
        <w:jc w:val="both"/>
        <w:rPr>
          <w:rFonts w:ascii="Arial" w:hAnsi="Arial" w:eastAsia="Azo Sans Lt" w:cs="Arial"/>
          <w:b/>
          <w:bCs/>
          <w:lang w:val="pt-BR"/>
        </w:rPr>
      </w:pPr>
      <w:r>
        <w:rPr>
          <w:rFonts w:ascii="Arial" w:hAnsi="Arial" w:eastAsia="Azo Sans Lt" w:cs="Arial"/>
          <w:b/>
          <w:bCs/>
          <w:lang w:val="pt-BR"/>
        </w:rPr>
        <w:t xml:space="preserve">DA REVISÃO DOS PREÇOS REGISTRADOS </w:t>
      </w:r>
    </w:p>
    <w:p>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b/>
          <w:bCs/>
          <w:lang w:val="pt-BR"/>
        </w:rPr>
      </w:pPr>
      <w:r>
        <w:rPr>
          <w:rFonts w:ascii="Arial" w:hAnsi="Arial" w:eastAsia="Azo Sans Lt" w:cs="Arial"/>
          <w:b/>
          <w:bCs/>
          <w:lang w:val="pt-BR"/>
        </w:rPr>
        <w:t>Alteração ou atualização dos preços registrados</w:t>
      </w:r>
    </w:p>
    <w:p>
      <w:pPr>
        <w:numPr>
          <w:ilvl w:val="2"/>
          <w:numId w:val="2"/>
        </w:numPr>
        <w:tabs>
          <w:tab w:val="left" w:pos="709"/>
          <w:tab w:val="left" w:pos="1134"/>
          <w:tab w:val="left" w:pos="4913"/>
          <w:tab w:val="left" w:pos="9691"/>
        </w:tabs>
        <w:spacing w:before="113" w:after="120" w:line="360" w:lineRule="auto"/>
        <w:ind w:left="993" w:right="119"/>
        <w:jc w:val="both"/>
        <w:rPr>
          <w:rFonts w:ascii="Arial" w:hAnsi="Arial" w:eastAsia="Azo Sans Lt" w:cs="Arial"/>
          <w:lang w:val="pt-BR"/>
        </w:rPr>
      </w:pPr>
      <w:r>
        <w:rPr>
          <w:rFonts w:ascii="Arial" w:hAnsi="Arial" w:eastAsia="Azo Sans Lt" w:cs="Arial"/>
          <w:lang w:val="pt-BR"/>
        </w:rPr>
        <w:t>Os preços registrados poderão ser alterados ou atualizados em decorrência de eventual redução dos preços praticados no mercado ou de fato que eleve o custo dos bens, das obras ou dos serviços registrados, nas seguintes situações:</w:t>
      </w:r>
    </w:p>
    <w:p>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em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de 2021;</w:t>
      </w:r>
    </w:p>
    <w:p>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em caso de criação, alteração ou extinção de quaisquer tributos ou encargos legais ou superveniência de disposições legais, com comprovada repercussão sobre os preços registrados; ou</w:t>
      </w:r>
    </w:p>
    <w:p>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na hipótese de previsão no edital de cláusula de reajustamento ou repactuação sobre os preços registrados, nos termos do disposto na Lei nº 14.133, de 2021.</w:t>
      </w:r>
    </w:p>
    <w:p>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b/>
          <w:bCs/>
          <w:lang w:val="pt-BR"/>
        </w:rPr>
      </w:pPr>
      <w:r>
        <w:rPr>
          <w:rFonts w:ascii="Arial" w:hAnsi="Arial" w:eastAsia="Azo Sans Lt" w:cs="Arial"/>
          <w:b/>
          <w:bCs/>
          <w:lang w:val="pt-BR"/>
        </w:rPr>
        <w:t>Negociação de preços registrados</w:t>
      </w:r>
    </w:p>
    <w:p>
      <w:pPr>
        <w:numPr>
          <w:ilvl w:val="2"/>
          <w:numId w:val="2"/>
        </w:numPr>
        <w:tabs>
          <w:tab w:val="left" w:pos="709"/>
          <w:tab w:val="left" w:pos="1134"/>
          <w:tab w:val="left" w:pos="4913"/>
          <w:tab w:val="left" w:pos="9691"/>
        </w:tabs>
        <w:spacing w:before="113" w:after="120" w:line="360" w:lineRule="auto"/>
        <w:ind w:left="993" w:right="119"/>
        <w:jc w:val="both"/>
        <w:rPr>
          <w:rFonts w:ascii="Arial" w:hAnsi="Arial" w:eastAsia="Azo Sans Lt" w:cs="Arial"/>
          <w:lang w:val="pt-BR"/>
        </w:rPr>
      </w:pPr>
      <w:r>
        <w:rPr>
          <w:rFonts w:ascii="Arial" w:hAnsi="Arial" w:eastAsia="Azo Sans Lt" w:cs="Arial"/>
          <w:lang w:val="pt-BR"/>
        </w:rPr>
        <w:t>Na hipótese de o preço registrado tornar-se superior ao preço praticado no mercado, por motivo superveniente, o órgão ou a entidade gerenciadora convocará o fornecedor para negociar a redução do preço registrado.</w:t>
      </w:r>
    </w:p>
    <w:p>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Caso não aceite reduzir seu preço aos valores praticados pelo mercado, o fornecedor será liberado do compromisso assumido quanto ao item registrado, sem aplicação de penalidades administrativas.</w:t>
      </w:r>
    </w:p>
    <w:p>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xml:space="preserve">Na hipótese prevista no item 6.2.1.1, o </w:t>
      </w:r>
      <w:r>
        <w:rPr>
          <w:rFonts w:ascii="Arial" w:hAnsi="Arial" w:eastAsia="Azo Sans Lt" w:cs="Arial"/>
          <w:b/>
          <w:bCs/>
          <w:lang w:val="pt-BR"/>
        </w:rPr>
        <w:t>órgão gerenciador convocará</w:t>
      </w:r>
      <w:r>
        <w:rPr>
          <w:rFonts w:ascii="Arial" w:hAnsi="Arial" w:eastAsia="Azo Sans Lt" w:cs="Arial"/>
          <w:lang w:val="pt-BR"/>
        </w:rPr>
        <w:t xml:space="preserve"> os fornecedores do cadastro de reserva, na ordem de classificação, para verificar se aceitam reduzir seus preços aos valores de mercado, observada a ordem de classificação.</w:t>
      </w:r>
    </w:p>
    <w:p>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xml:space="preserve">Se não obtiver êxito nas negociações, </w:t>
      </w:r>
      <w:r>
        <w:rPr>
          <w:rFonts w:ascii="Arial" w:hAnsi="Arial" w:eastAsia="Azo Sans Lt" w:cs="Arial"/>
          <w:b/>
          <w:bCs/>
          <w:lang w:val="pt-BR"/>
        </w:rPr>
        <w:t>o órgão ou a entidade gerenciadora</w:t>
      </w:r>
      <w:r>
        <w:rPr>
          <w:rFonts w:ascii="Arial" w:hAnsi="Arial" w:eastAsia="Azo Sans Lt" w:cs="Arial"/>
          <w:lang w:val="pt-BR"/>
        </w:rPr>
        <w:t xml:space="preserve"> procederá ao cancelamento da ata de registro de preços, e adotará as medidas cabíveis para a obtenção de contratação mais vantajosa.</w:t>
      </w:r>
    </w:p>
    <w:p>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Na hipótese de redução do preço registrado, o órgão ou a entidade gerenciadora comunicará aos órgãos e às entidades que tiverem firmado contratos decorrentes da ata de registro de preços, para que avaliem a conveniência e a oportunidade de diligenciarem negociação com vistas à alteração contratual, observado o disposto no art. 105 da Lei nº 14.133, de 2021.</w:t>
      </w:r>
    </w:p>
    <w:p>
      <w:pPr>
        <w:numPr>
          <w:ilvl w:val="2"/>
          <w:numId w:val="2"/>
        </w:numPr>
        <w:tabs>
          <w:tab w:val="left" w:pos="709"/>
          <w:tab w:val="left" w:pos="1134"/>
          <w:tab w:val="left" w:pos="4913"/>
          <w:tab w:val="left" w:pos="9691"/>
        </w:tabs>
        <w:spacing w:before="113" w:after="120" w:line="360" w:lineRule="auto"/>
        <w:ind w:left="993" w:right="119"/>
        <w:jc w:val="both"/>
        <w:rPr>
          <w:rFonts w:ascii="Arial" w:hAnsi="Arial" w:eastAsia="Azo Sans Lt" w:cs="Arial"/>
          <w:lang w:val="pt-BR"/>
        </w:rPr>
      </w:pPr>
      <w:r>
        <w:rPr>
          <w:rFonts w:ascii="Arial" w:hAnsi="Arial" w:eastAsia="Azo Sans Lt" w:cs="Arial"/>
          <w:lang w:val="pt-BR"/>
        </w:rPr>
        <w:t xml:space="preserve">Na hipótese de o preço de mercado tornar-se superior ao preço registrado e o fornecedor não puder cumprir as obrigações estabelecidas na ata, será facultado ao fornecedor requerer ao gerenciador, a alteração do preço registrado, </w:t>
      </w:r>
      <w:r>
        <w:rPr>
          <w:rFonts w:ascii="Arial" w:hAnsi="Arial" w:eastAsia="Azo Sans Lt" w:cs="Arial"/>
          <w:b/>
          <w:bCs/>
          <w:u w:val="single"/>
        </w:rPr>
        <w:t xml:space="preserve">a ser protocolada antes do pedido de fornecimento, </w:t>
      </w:r>
      <w:r>
        <w:rPr>
          <w:rFonts w:ascii="Arial" w:hAnsi="Arial" w:eastAsia="Azo Sans Lt" w:cs="Arial"/>
          <w:lang w:val="pt-BR"/>
        </w:rPr>
        <w:t>mediante comprovação de fato superveniente que o impossibilite de cumprir o compromisso.</w:t>
      </w:r>
    </w:p>
    <w:p>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Para fins do disposto no subitem anterior, o fornecedor encaminhará, juntamente com o pedido de alteração, a documentação comprobatória ou a planilha de custos que demonstre a inviabilidade do preço registrado em relação às condições inicialmente pactuadas.</w:t>
      </w:r>
    </w:p>
    <w:p>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Na hipótese de não comprovação da existência de fato superveniente que inviabilize o preço registrado, o pedido será indeferido pelo órgão ou pela entidade gerenciadora e o fornecedor deverá cumprir as obrigações estabelecidas na ata, sob pena de cancelamento do seu registro, sem prejuízo da aplicação das sanções previstas na Lei nº 14.133, de 2021, e na legislação aplicável.</w:t>
      </w:r>
    </w:p>
    <w:p>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Na hipótese de cancelamento do registro do fornecedor, o gerenciador convocará os fornecedores do cadastro de reserva, na ordem de classificação, para verificar se aceitam manter seus preços registrados.</w:t>
      </w:r>
    </w:p>
    <w:p>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Se não obtiver êxito nas negociações, o órgão ou a entidade gerenciadora procederá ao cancelamento da ata de registro de preços, e adotará as medidas cabíveis para a obtenção da contratação mais vantajosa.</w:t>
      </w:r>
    </w:p>
    <w:p>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Na hipótese de comprovação do disposto no subitem 6.2.2 o órgão ou a entidade gerenciadora atualizará o preço registrado, de acordo com a realidade dos valores praticados pelo mercado.</w:t>
      </w:r>
    </w:p>
    <w:p>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O órgão ou a entidade gerenciadora comunicará aos órgãos e às entidades que tiverem firmado contratos decorrentes da ata de registro de preços sobre a efetiva alteração do preço registrado, para que avaliem a necessidade de alteração contratual.</w:t>
      </w:r>
    </w:p>
    <w:p>
      <w:pPr>
        <w:numPr>
          <w:ilvl w:val="0"/>
          <w:numId w:val="2"/>
        </w:numPr>
        <w:tabs>
          <w:tab w:val="left" w:pos="709"/>
          <w:tab w:val="left" w:pos="4913"/>
          <w:tab w:val="left" w:pos="7050"/>
          <w:tab w:val="left" w:pos="9691"/>
        </w:tabs>
        <w:spacing w:before="113" w:after="120" w:line="360" w:lineRule="auto"/>
        <w:ind w:right="119"/>
        <w:jc w:val="both"/>
        <w:rPr>
          <w:rFonts w:ascii="Arial" w:hAnsi="Arial" w:eastAsia="Azo Sans Lt" w:cs="Arial"/>
          <w:b/>
          <w:bCs/>
          <w:lang w:val="pt-BR"/>
        </w:rPr>
      </w:pPr>
      <w:bookmarkStart w:id="3" w:name="_Hlk137543874"/>
      <w:r>
        <w:rPr>
          <w:rFonts w:ascii="Arial" w:hAnsi="Arial" w:eastAsia="Azo Sans Lt" w:cs="Arial"/>
          <w:b/>
          <w:bCs/>
          <w:lang w:val="pt-BR"/>
        </w:rPr>
        <w:t>REMANEJAMENTO DAS QUANTIDADES REGISTRADAS NA ATA DE REGISTRO DE PREÇOS</w:t>
      </w:r>
    </w:p>
    <w:p>
      <w:pPr>
        <w:pStyle w:val="28"/>
        <w:numPr>
          <w:ilvl w:val="1"/>
          <w:numId w:val="2"/>
        </w:numPr>
        <w:spacing w:line="360" w:lineRule="auto"/>
        <w:ind w:left="0" w:firstLine="0"/>
        <w:rPr>
          <w:sz w:val="22"/>
          <w:szCs w:val="22"/>
        </w:rPr>
      </w:pPr>
      <w:r>
        <w:rPr>
          <w:rFonts w:eastAsia="Azo Sans Lt"/>
          <w:b/>
          <w:bCs/>
          <w:sz w:val="22"/>
          <w:szCs w:val="22"/>
        </w:rPr>
        <w:t xml:space="preserve"> </w:t>
      </w:r>
      <w:r>
        <w:rPr>
          <w:sz w:val="22"/>
          <w:szCs w:val="22"/>
        </w:rPr>
        <w:t>As quan</w:t>
      </w:r>
      <w:r>
        <w:rPr>
          <w:rFonts w:eastAsia="Arial"/>
          <w:sz w:val="22"/>
          <w:szCs w:val="22"/>
        </w:rPr>
        <w:t>ti</w:t>
      </w:r>
      <w:r>
        <w:rPr>
          <w:sz w:val="22"/>
          <w:szCs w:val="22"/>
        </w:rPr>
        <w:t>dades previstas para os itens com preços registrados nas atas de registro de preços poderão ser remanejadas pelo órgão ou en</w:t>
      </w:r>
      <w:r>
        <w:rPr>
          <w:rFonts w:eastAsia="Arial"/>
          <w:sz w:val="22"/>
          <w:szCs w:val="22"/>
        </w:rPr>
        <w:t>ti</w:t>
      </w:r>
      <w:r>
        <w:rPr>
          <w:sz w:val="22"/>
          <w:szCs w:val="22"/>
        </w:rPr>
        <w:t>dade gerenciadora entre os órgãos ou as en</w:t>
      </w:r>
      <w:r>
        <w:rPr>
          <w:rFonts w:eastAsia="Arial"/>
          <w:sz w:val="22"/>
          <w:szCs w:val="22"/>
        </w:rPr>
        <w:t>ti</w:t>
      </w:r>
      <w:r>
        <w:rPr>
          <w:sz w:val="22"/>
          <w:szCs w:val="22"/>
        </w:rPr>
        <w:t>dades par</w:t>
      </w:r>
      <w:r>
        <w:rPr>
          <w:rFonts w:eastAsia="Arial"/>
          <w:sz w:val="22"/>
          <w:szCs w:val="22"/>
        </w:rPr>
        <w:t>ti</w:t>
      </w:r>
      <w:r>
        <w:rPr>
          <w:sz w:val="22"/>
          <w:szCs w:val="22"/>
        </w:rPr>
        <w:t>cipantes e não par</w:t>
      </w:r>
      <w:r>
        <w:rPr>
          <w:rFonts w:eastAsia="Arial"/>
          <w:sz w:val="22"/>
          <w:szCs w:val="22"/>
        </w:rPr>
        <w:t>ti</w:t>
      </w:r>
      <w:r>
        <w:rPr>
          <w:sz w:val="22"/>
          <w:szCs w:val="22"/>
        </w:rPr>
        <w:t>cipantes do registro de preços.</w:t>
      </w:r>
    </w:p>
    <w:p>
      <w:pPr>
        <w:pStyle w:val="28"/>
        <w:numPr>
          <w:ilvl w:val="1"/>
          <w:numId w:val="2"/>
        </w:numPr>
        <w:spacing w:line="360" w:lineRule="auto"/>
        <w:ind w:left="0" w:firstLine="0"/>
        <w:rPr>
          <w:sz w:val="22"/>
          <w:szCs w:val="22"/>
        </w:rPr>
      </w:pPr>
      <w:r>
        <w:rPr>
          <w:sz w:val="22"/>
          <w:szCs w:val="22"/>
        </w:rPr>
        <w:t xml:space="preserve"> O remanejamento somente poderá ser feito:</w:t>
      </w:r>
    </w:p>
    <w:p>
      <w:pPr>
        <w:pStyle w:val="31"/>
        <w:numPr>
          <w:ilvl w:val="2"/>
          <w:numId w:val="2"/>
        </w:numPr>
        <w:spacing w:line="360" w:lineRule="auto"/>
        <w:ind w:left="284" w:firstLine="0"/>
        <w:rPr>
          <w:sz w:val="22"/>
          <w:szCs w:val="22"/>
        </w:rPr>
      </w:pPr>
      <w:r>
        <w:rPr>
          <w:sz w:val="22"/>
          <w:szCs w:val="22"/>
        </w:rPr>
        <w:t>De órgão ou en</w:t>
      </w:r>
      <w:r>
        <w:rPr>
          <w:rFonts w:eastAsia="Arial"/>
          <w:sz w:val="22"/>
          <w:szCs w:val="22"/>
        </w:rPr>
        <w:t>ti</w:t>
      </w:r>
      <w:r>
        <w:rPr>
          <w:sz w:val="22"/>
          <w:szCs w:val="22"/>
        </w:rPr>
        <w:t>dade par</w:t>
      </w:r>
      <w:r>
        <w:rPr>
          <w:rFonts w:eastAsia="Arial"/>
          <w:sz w:val="22"/>
          <w:szCs w:val="22"/>
        </w:rPr>
        <w:t>ti</w:t>
      </w:r>
      <w:r>
        <w:rPr>
          <w:sz w:val="22"/>
          <w:szCs w:val="22"/>
        </w:rPr>
        <w:t>cipante para órgão ou en</w:t>
      </w:r>
      <w:r>
        <w:rPr>
          <w:rFonts w:eastAsia="Arial"/>
          <w:sz w:val="22"/>
          <w:szCs w:val="22"/>
        </w:rPr>
        <w:t>ti</w:t>
      </w:r>
      <w:r>
        <w:rPr>
          <w:sz w:val="22"/>
          <w:szCs w:val="22"/>
        </w:rPr>
        <w:t>dade par</w:t>
      </w:r>
      <w:r>
        <w:rPr>
          <w:rFonts w:eastAsia="Arial"/>
          <w:sz w:val="22"/>
          <w:szCs w:val="22"/>
        </w:rPr>
        <w:t>ti</w:t>
      </w:r>
      <w:r>
        <w:rPr>
          <w:sz w:val="22"/>
          <w:szCs w:val="22"/>
        </w:rPr>
        <w:t xml:space="preserve">cipante; </w:t>
      </w:r>
    </w:p>
    <w:p>
      <w:pPr>
        <w:pStyle w:val="28"/>
        <w:numPr>
          <w:ilvl w:val="1"/>
          <w:numId w:val="2"/>
        </w:numPr>
        <w:spacing w:line="360" w:lineRule="auto"/>
        <w:ind w:left="0" w:firstLine="0"/>
        <w:rPr>
          <w:sz w:val="22"/>
          <w:szCs w:val="22"/>
        </w:rPr>
      </w:pPr>
      <w:r>
        <w:rPr>
          <w:sz w:val="22"/>
          <w:szCs w:val="22"/>
        </w:rPr>
        <w:t>O órgão ou en</w:t>
      </w:r>
      <w:r>
        <w:rPr>
          <w:rFonts w:eastAsia="Arial"/>
          <w:sz w:val="22"/>
          <w:szCs w:val="22"/>
        </w:rPr>
        <w:t>ti</w:t>
      </w:r>
      <w:r>
        <w:rPr>
          <w:sz w:val="22"/>
          <w:szCs w:val="22"/>
        </w:rPr>
        <w:t>dade gerenciadora que tiver es</w:t>
      </w:r>
      <w:r>
        <w:rPr>
          <w:rFonts w:eastAsia="Arial"/>
          <w:sz w:val="22"/>
          <w:szCs w:val="22"/>
        </w:rPr>
        <w:t>ti</w:t>
      </w:r>
      <w:r>
        <w:rPr>
          <w:sz w:val="22"/>
          <w:szCs w:val="22"/>
        </w:rPr>
        <w:t>mado as quan</w:t>
      </w:r>
      <w:r>
        <w:rPr>
          <w:rFonts w:eastAsia="Arial"/>
          <w:sz w:val="22"/>
          <w:szCs w:val="22"/>
        </w:rPr>
        <w:t>ti</w:t>
      </w:r>
      <w:r>
        <w:rPr>
          <w:sz w:val="22"/>
          <w:szCs w:val="22"/>
        </w:rPr>
        <w:t>dades que pretende contratar será considerado participante para efeito do remanejamento.</w:t>
      </w:r>
      <w:bookmarkStart w:id="4" w:name="gerenciador_estimador_é_partic_em_remane"/>
      <w:bookmarkEnd w:id="4"/>
    </w:p>
    <w:p>
      <w:pPr>
        <w:pStyle w:val="28"/>
        <w:numPr>
          <w:ilvl w:val="1"/>
          <w:numId w:val="2"/>
        </w:numPr>
        <w:spacing w:line="360" w:lineRule="auto"/>
        <w:ind w:left="0" w:firstLine="0"/>
        <w:rPr>
          <w:sz w:val="22"/>
          <w:szCs w:val="22"/>
        </w:rPr>
      </w:pPr>
      <w:r>
        <w:rPr>
          <w:sz w:val="22"/>
          <w:szCs w:val="22"/>
        </w:rPr>
        <w:t>Competirá ao órgão ou à en</w:t>
      </w:r>
      <w:r>
        <w:rPr>
          <w:rFonts w:eastAsia="Arial"/>
          <w:sz w:val="22"/>
          <w:szCs w:val="22"/>
        </w:rPr>
        <w:t>ti</w:t>
      </w:r>
      <w:r>
        <w:rPr>
          <w:sz w:val="22"/>
          <w:szCs w:val="22"/>
        </w:rPr>
        <w:t>dade gerenciadora autorizar o remanejamento solicitado, com a redução do quan</w:t>
      </w:r>
      <w:r>
        <w:rPr>
          <w:rFonts w:eastAsia="Arial"/>
          <w:sz w:val="22"/>
          <w:szCs w:val="22"/>
        </w:rPr>
        <w:t>ti</w:t>
      </w:r>
      <w:r>
        <w:rPr>
          <w:sz w:val="22"/>
          <w:szCs w:val="22"/>
        </w:rPr>
        <w:t>ta</w:t>
      </w:r>
      <w:r>
        <w:rPr>
          <w:rFonts w:eastAsia="Arial"/>
          <w:sz w:val="22"/>
          <w:szCs w:val="22"/>
        </w:rPr>
        <w:t>ti</w:t>
      </w:r>
      <w:r>
        <w:rPr>
          <w:sz w:val="22"/>
          <w:szCs w:val="22"/>
        </w:rPr>
        <w:t>vo inicialmente informado pelo órgão ou pela en</w:t>
      </w:r>
      <w:r>
        <w:rPr>
          <w:rFonts w:eastAsia="Arial"/>
          <w:sz w:val="22"/>
          <w:szCs w:val="22"/>
        </w:rPr>
        <w:t>ti</w:t>
      </w:r>
      <w:r>
        <w:rPr>
          <w:sz w:val="22"/>
          <w:szCs w:val="22"/>
        </w:rPr>
        <w:t>dade par</w:t>
      </w:r>
      <w:r>
        <w:rPr>
          <w:rFonts w:eastAsia="Arial"/>
          <w:sz w:val="22"/>
          <w:szCs w:val="22"/>
        </w:rPr>
        <w:t>ti</w:t>
      </w:r>
      <w:r>
        <w:rPr>
          <w:sz w:val="22"/>
          <w:szCs w:val="22"/>
        </w:rPr>
        <w:t>cipante, desde que haja prévia anuência do órgão ou da en</w:t>
      </w:r>
      <w:r>
        <w:rPr>
          <w:rFonts w:eastAsia="Arial"/>
          <w:sz w:val="22"/>
          <w:szCs w:val="22"/>
        </w:rPr>
        <w:t>ti</w:t>
      </w:r>
      <w:r>
        <w:rPr>
          <w:sz w:val="22"/>
          <w:szCs w:val="22"/>
        </w:rPr>
        <w:t>dade que sofrer redução dos quantitativos informados.</w:t>
      </w:r>
    </w:p>
    <w:p>
      <w:pPr>
        <w:numPr>
          <w:ilvl w:val="0"/>
          <w:numId w:val="2"/>
        </w:numPr>
        <w:tabs>
          <w:tab w:val="left" w:pos="709"/>
          <w:tab w:val="left" w:pos="4913"/>
          <w:tab w:val="left" w:pos="7050"/>
          <w:tab w:val="left" w:pos="9691"/>
        </w:tabs>
        <w:spacing w:before="113" w:after="120" w:line="360" w:lineRule="auto"/>
        <w:ind w:right="119"/>
        <w:jc w:val="both"/>
        <w:rPr>
          <w:rFonts w:ascii="Arial" w:hAnsi="Arial" w:eastAsia="Azo Sans Lt" w:cs="Arial"/>
          <w:b/>
          <w:bCs/>
          <w:lang w:val="pt-BR"/>
        </w:rPr>
      </w:pPr>
      <w:r>
        <w:rPr>
          <w:rFonts w:ascii="Arial" w:hAnsi="Arial" w:eastAsia="Azo Sans Lt" w:cs="Arial"/>
          <w:b/>
          <w:bCs/>
          <w:lang w:val="pt-BR"/>
        </w:rPr>
        <w:t>CANCELAMENTO DO REGISTRO DO FORNECEDOR E DOS PREÇOS REGISTRADOS</w:t>
      </w:r>
    </w:p>
    <w:bookmarkEnd w:id="3"/>
    <w:p>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b/>
          <w:bCs/>
          <w:lang w:val="pt-BR"/>
        </w:rPr>
      </w:pPr>
      <w:r>
        <w:rPr>
          <w:rFonts w:ascii="Arial" w:hAnsi="Arial" w:eastAsia="Azo Sans Lt" w:cs="Arial"/>
          <w:b/>
          <w:bCs/>
          <w:lang w:val="pt-BR"/>
        </w:rPr>
        <w:t>Cancelamento do registro do fornecedor</w:t>
      </w:r>
    </w:p>
    <w:p>
      <w:pPr>
        <w:numPr>
          <w:ilvl w:val="2"/>
          <w:numId w:val="2"/>
        </w:numPr>
        <w:tabs>
          <w:tab w:val="left" w:pos="709"/>
          <w:tab w:val="left" w:pos="1134"/>
          <w:tab w:val="left" w:pos="4913"/>
          <w:tab w:val="left" w:pos="9691"/>
        </w:tabs>
        <w:spacing w:before="113" w:after="120" w:line="360" w:lineRule="auto"/>
        <w:ind w:left="993" w:right="119"/>
        <w:jc w:val="both"/>
        <w:rPr>
          <w:rFonts w:ascii="Arial" w:hAnsi="Arial" w:eastAsia="Azo Sans Lt" w:cs="Arial"/>
          <w:lang w:val="pt-BR"/>
        </w:rPr>
      </w:pPr>
      <w:r>
        <w:rPr>
          <w:rFonts w:ascii="Arial" w:hAnsi="Arial" w:eastAsia="Azo Sans Lt" w:cs="Arial"/>
          <w:lang w:val="pt-BR"/>
        </w:rPr>
        <w:t xml:space="preserve">- O registro do fornecedor poderá ser cancelado pelo órgão ou pela entidade gerenciadora, quando o fornecedor: </w:t>
      </w:r>
    </w:p>
    <w:p>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xml:space="preserve">- descumprir as condições da ata de registro de preços sem motivo justificado; </w:t>
      </w:r>
    </w:p>
    <w:p>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não retirar a nota de empenho, ou instrumento equivalente, no prazo estabelecido pela Administração sem justificativa razoável;</w:t>
      </w:r>
    </w:p>
    <w:p>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sofrer sanção prevista nos </w:t>
      </w:r>
      <w:r>
        <w:fldChar w:fldCharType="begin"/>
      </w:r>
      <w:r>
        <w:instrText xml:space="preserve"> HYPERLINK "http://www.planalto.gov.br/ccivil_03/_Ato2019-2022/2021/Lei/L14133.htm" \l "art156iii" </w:instrText>
      </w:r>
      <w:r>
        <w:fldChar w:fldCharType="separate"/>
      </w:r>
      <w:r>
        <w:rPr>
          <w:rFonts w:ascii="Arial" w:hAnsi="Arial" w:eastAsia="Azo Sans Lt" w:cs="Arial"/>
          <w:lang w:val="pt-BR"/>
        </w:rPr>
        <w:t>incisos III </w:t>
      </w:r>
      <w:r>
        <w:rPr>
          <w:rFonts w:ascii="Arial" w:hAnsi="Arial" w:eastAsia="Azo Sans Lt" w:cs="Arial"/>
          <w:lang w:val="pt-BR"/>
        </w:rPr>
        <w:fldChar w:fldCharType="end"/>
      </w:r>
      <w:r>
        <w:rPr>
          <w:rFonts w:ascii="Arial" w:hAnsi="Arial" w:eastAsia="Azo Sans Lt" w:cs="Arial"/>
          <w:lang w:val="pt-BR"/>
        </w:rPr>
        <w:t>ou </w:t>
      </w:r>
      <w:r>
        <w:fldChar w:fldCharType="begin"/>
      </w:r>
      <w:r>
        <w:instrText xml:space="preserve"> HYPERLINK "http://www.planalto.gov.br/ccivil_03/_Ato2019-2022/2021/Lei/L14133.htm" \l "art156iv" </w:instrText>
      </w:r>
      <w:r>
        <w:fldChar w:fldCharType="separate"/>
      </w:r>
      <w:r>
        <w:rPr>
          <w:rFonts w:ascii="Arial" w:hAnsi="Arial" w:eastAsia="Azo Sans Lt" w:cs="Arial"/>
          <w:lang w:val="pt-BR"/>
        </w:rPr>
        <w:t>IV do caput do art. 156 da Lei nº 14.133, de 2021.</w:t>
      </w:r>
      <w:r>
        <w:rPr>
          <w:rFonts w:ascii="Arial" w:hAnsi="Arial" w:eastAsia="Azo Sans Lt" w:cs="Arial"/>
          <w:lang w:val="pt-BR"/>
        </w:rPr>
        <w:fldChar w:fldCharType="end"/>
      </w:r>
    </w:p>
    <w:p>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Na hipótese prevista no subitem anterior, caso a penalidade aplicada ao fornecedor não ultrapasse o prazo de vigência da ata de registro de preços, o órgão ou a entidade gerenciadora poderá, mediante decisão fundamentada, decidir pela manutenção do registro de preços, vedadas novas contratações derivadas da ata enquanto perdurarem os efeitos da sanção.</w:t>
      </w:r>
    </w:p>
    <w:p>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O cancelamento do registro nas hipóteses previstas no subitem 8.1 será formalizado por despacho do órgão ou da entidade gerenciadora, garantidos os princípios do contraditório e da ampla defesa.</w:t>
      </w:r>
    </w:p>
    <w:p>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Na hipótese de cancelamento do registro do fornecedor, o órgão ou a entidade gerenciadora poderá convocar os licitantes que compõem o cadastro de reserva, observada a ordem de classificação.</w:t>
      </w:r>
    </w:p>
    <w:p>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b/>
          <w:bCs/>
          <w:lang w:val="pt-BR"/>
        </w:rPr>
      </w:pPr>
      <w:r>
        <w:rPr>
          <w:rFonts w:ascii="Arial" w:hAnsi="Arial" w:eastAsia="Azo Sans Lt" w:cs="Arial"/>
          <w:b/>
          <w:bCs/>
          <w:lang w:val="pt-BR"/>
        </w:rPr>
        <w:t>Cancelamento dos preços registrados</w:t>
      </w:r>
    </w:p>
    <w:p>
      <w:pPr>
        <w:numPr>
          <w:ilvl w:val="2"/>
          <w:numId w:val="2"/>
        </w:numPr>
        <w:tabs>
          <w:tab w:val="left" w:pos="709"/>
          <w:tab w:val="left" w:pos="1134"/>
          <w:tab w:val="left" w:pos="4913"/>
          <w:tab w:val="left" w:pos="9691"/>
        </w:tabs>
        <w:spacing w:before="113" w:after="120" w:line="360" w:lineRule="auto"/>
        <w:ind w:left="993" w:right="119"/>
        <w:jc w:val="both"/>
        <w:rPr>
          <w:rFonts w:ascii="Arial" w:hAnsi="Arial" w:eastAsia="Azo Sans Lt" w:cs="Arial"/>
          <w:lang w:val="pt-BR"/>
        </w:rPr>
      </w:pPr>
      <w:r>
        <w:rPr>
          <w:rFonts w:ascii="Arial" w:hAnsi="Arial" w:eastAsia="Azo Sans Lt" w:cs="Arial"/>
          <w:lang w:val="pt-BR"/>
        </w:rPr>
        <w:t>- O cancelamento dos preços registrados poderá ser realizado pelo gerenciador, em determinada ata de registro de preços, total ou parcialmente, nas seguintes hipóteses, desde que devidamente comprovadas e justificadas:</w:t>
      </w:r>
    </w:p>
    <w:p>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por razão de interesse público; </w:t>
      </w:r>
    </w:p>
    <w:p>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a pedido do fornecedor, decorrente de caso fortuito ou força maior; ou</w:t>
      </w:r>
    </w:p>
    <w:p>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se não houver êxito nas negociações, nos termos do disposto no subitem 6.2</w:t>
      </w:r>
    </w:p>
    <w:p>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A pedido do próprio, quando comprovar estar impossibilitado de cumprir as exigências da ata, pela ocorrência de fato superveniente que venha comprometer a perfeita execução contratual, decorrente de caso fortuito ou de força maior devidamente comprovado;</w:t>
      </w:r>
    </w:p>
    <w:p>
      <w:pPr>
        <w:numPr>
          <w:ilvl w:val="0"/>
          <w:numId w:val="2"/>
        </w:numPr>
        <w:tabs>
          <w:tab w:val="left" w:pos="709"/>
          <w:tab w:val="left" w:pos="4913"/>
          <w:tab w:val="left" w:pos="7050"/>
          <w:tab w:val="left" w:pos="9691"/>
        </w:tabs>
        <w:spacing w:before="113" w:after="120" w:line="360" w:lineRule="auto"/>
        <w:ind w:right="119"/>
        <w:jc w:val="both"/>
        <w:rPr>
          <w:rFonts w:ascii="Arial" w:hAnsi="Arial" w:eastAsia="Azo Sans Lt" w:cs="Arial"/>
          <w:b/>
          <w:bCs/>
          <w:lang w:val="pt-BR"/>
        </w:rPr>
      </w:pPr>
      <w:bookmarkStart w:id="5" w:name="_Hlk62746833"/>
      <w:r>
        <w:rPr>
          <w:rFonts w:ascii="Arial" w:hAnsi="Arial" w:eastAsia="Azo Sans Lt" w:cs="Arial"/>
          <w:b/>
          <w:bCs/>
          <w:lang w:val="pt-BR"/>
        </w:rPr>
        <w:t>DAS PENALIDADES</w:t>
      </w:r>
    </w:p>
    <w:bookmarkEnd w:id="5"/>
    <w:p>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lang w:val="pt-BR"/>
        </w:rPr>
      </w:pPr>
      <w:r>
        <w:rPr>
          <w:rFonts w:ascii="Arial" w:hAnsi="Arial" w:eastAsia="Azo Sans Lt" w:cs="Arial"/>
          <w:lang w:val="pt-BR"/>
        </w:rPr>
        <w:t>-  O descumprimento da Ata de Registro de Preços ensejará aplicação das penalidades estabelecidas no Edital e na Lei 14.133/2021.</w:t>
      </w:r>
    </w:p>
    <w:p>
      <w:pPr>
        <w:numPr>
          <w:ilvl w:val="2"/>
          <w:numId w:val="2"/>
        </w:numPr>
        <w:tabs>
          <w:tab w:val="left" w:pos="489"/>
          <w:tab w:val="left" w:pos="709"/>
          <w:tab w:val="left" w:pos="1276"/>
          <w:tab w:val="left" w:pos="4913"/>
          <w:tab w:val="left" w:pos="9691"/>
        </w:tabs>
        <w:spacing w:before="113" w:after="120" w:line="360" w:lineRule="auto"/>
        <w:ind w:left="0" w:right="119" w:firstLine="0"/>
        <w:jc w:val="both"/>
        <w:rPr>
          <w:rFonts w:ascii="Arial" w:hAnsi="Arial" w:eastAsia="Azo Sans Lt" w:cs="Arial"/>
          <w:lang w:val="pt-BR"/>
        </w:rPr>
      </w:pPr>
      <w:r>
        <w:rPr>
          <w:rFonts w:ascii="Arial" w:hAnsi="Arial" w:eastAsia="Azo Sans Lt" w:cs="Arial"/>
          <w:lang w:val="pt-BR"/>
        </w:rPr>
        <w:t xml:space="preserve">As sanções do item acima também se aplicam aos integrantes do cadastro de reserva, em pregão para registro de preços que, convocados, não honrarem o compromisso assumido injustificadamente, após terem assinado a ata. </w:t>
      </w:r>
    </w:p>
    <w:p>
      <w:pPr>
        <w:numPr>
          <w:ilvl w:val="2"/>
          <w:numId w:val="2"/>
        </w:numPr>
        <w:tabs>
          <w:tab w:val="left" w:pos="489"/>
          <w:tab w:val="left" w:pos="709"/>
          <w:tab w:val="left" w:pos="1276"/>
          <w:tab w:val="left" w:pos="4913"/>
          <w:tab w:val="left" w:pos="9691"/>
        </w:tabs>
        <w:spacing w:before="113" w:after="120" w:line="360" w:lineRule="auto"/>
        <w:ind w:left="0" w:right="119" w:firstLine="0"/>
        <w:jc w:val="both"/>
        <w:rPr>
          <w:rFonts w:ascii="Arial" w:hAnsi="Arial" w:eastAsia="Azo Sans Lt" w:cs="Arial"/>
          <w:lang w:val="pt-BR"/>
        </w:rPr>
      </w:pPr>
      <w:r>
        <w:rPr>
          <w:rFonts w:ascii="Arial" w:hAnsi="Arial" w:eastAsia="Azo Sans Lt" w:cs="Arial"/>
          <w:lang w:val="pt-BR"/>
        </w:rPr>
        <w:t>É da competência do órgão gerenciador a aplicação das penalidades decorrentes do descumprimento do pactuado nesta ata de registro de preço, exceto nas hipóteses em que o descumprimento disser respeito às contratações dos órgãos participantes, caso no qual caberá ao respectivo órgão participante a aplicação da penalidade.</w:t>
      </w:r>
    </w:p>
    <w:p>
      <w:pPr>
        <w:numPr>
          <w:ilvl w:val="2"/>
          <w:numId w:val="2"/>
        </w:numPr>
        <w:tabs>
          <w:tab w:val="left" w:pos="489"/>
          <w:tab w:val="left" w:pos="709"/>
          <w:tab w:val="left" w:pos="1276"/>
          <w:tab w:val="left" w:pos="4913"/>
          <w:tab w:val="left" w:pos="9691"/>
        </w:tabs>
        <w:spacing w:before="113" w:after="120" w:line="360" w:lineRule="auto"/>
        <w:ind w:left="0" w:right="119" w:firstLine="0"/>
        <w:jc w:val="both"/>
        <w:rPr>
          <w:rFonts w:ascii="Arial" w:hAnsi="Arial" w:eastAsia="Azo Sans Lt" w:cs="Arial"/>
          <w:lang w:val="pt-BR"/>
        </w:rPr>
      </w:pPr>
      <w:r>
        <w:rPr>
          <w:rFonts w:ascii="Arial" w:hAnsi="Arial" w:eastAsia="Azo Sans Lt" w:cs="Arial"/>
          <w:lang w:val="pt-BR"/>
        </w:rPr>
        <w:t>O órgão participante deverá comunicar ao órgão gerenciador qualquer das ocorrências previstas, dada a necessidade de instauração de procedimento para cancelamento do registro do fornecedor.</w:t>
      </w:r>
    </w:p>
    <w:p>
      <w:pPr>
        <w:numPr>
          <w:ilvl w:val="0"/>
          <w:numId w:val="2"/>
        </w:numPr>
        <w:tabs>
          <w:tab w:val="left" w:pos="709"/>
          <w:tab w:val="left" w:pos="4913"/>
          <w:tab w:val="left" w:pos="7050"/>
          <w:tab w:val="left" w:pos="9691"/>
        </w:tabs>
        <w:spacing w:before="113" w:after="120" w:line="360" w:lineRule="auto"/>
        <w:ind w:right="119"/>
        <w:jc w:val="both"/>
        <w:rPr>
          <w:rFonts w:ascii="Arial" w:hAnsi="Arial" w:eastAsia="Azo Sans Lt" w:cs="Arial"/>
          <w:b/>
          <w:bCs/>
          <w:lang w:val="pt-BR"/>
        </w:rPr>
      </w:pPr>
      <w:r>
        <w:rPr>
          <w:rFonts w:ascii="Arial" w:hAnsi="Arial" w:eastAsia="Azo Sans Lt" w:cs="Arial"/>
          <w:b/>
          <w:bCs/>
          <w:lang w:val="pt-BR"/>
        </w:rPr>
        <w:t>CONDIÇOES GERAIS</w:t>
      </w:r>
    </w:p>
    <w:p>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lang w:val="pt-BR"/>
        </w:rPr>
      </w:pPr>
      <w:r>
        <w:rPr>
          <w:rFonts w:ascii="Arial" w:hAnsi="Arial" w:eastAsia="Azo Sans Lt" w:cs="Arial"/>
          <w:lang w:val="pt-BR"/>
        </w:rPr>
        <w:t>As condições gerais do fornecimento, tais como os prazos para entrega e recebimento do objeto, as obrigações da Administração e do fornecedor registrado, penalidades e demais condições do ajuste, encontram-se definidos no Termo de Referência – Anexo I do edital.</w:t>
      </w:r>
    </w:p>
    <w:p>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lang w:val="pt-BR"/>
        </w:rPr>
      </w:pPr>
      <w:r>
        <w:rPr>
          <w:rFonts w:ascii="Arial" w:hAnsi="Arial" w:eastAsia="Azo Sans Lt" w:cs="Arial"/>
          <w:lang w:val="pt-BR"/>
        </w:rPr>
        <w:t>É vedado efetuar acréscimos nos quantitativos fixados nesta ata de registro de preços, inclusive o acréscimo de que trata art. 124 da Lei nº 14.133 / 2021 nos termos do art. 23, do Decreto Federal nº 11.462, de 31 de março de 2023.</w:t>
      </w:r>
    </w:p>
    <w:p>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lang w:val="pt-BR"/>
        </w:rPr>
      </w:pPr>
      <w:r>
        <w:rPr>
          <w:rFonts w:ascii="Arial" w:hAnsi="Arial" w:eastAsia="Azo Sans Lt" w:cs="Arial"/>
          <w:lang w:val="pt-BR"/>
        </w:rPr>
        <w:t>A ata de realização da sessão pública do pregão, contendo a relação dos licitantes que aceitarem cotar os bens ou serviços com preços iguais ao do licitante vencedor do certame, compõe anexo a esta Ata de Registro de Preços.</w:t>
      </w:r>
    </w:p>
    <w:p>
      <w:pPr>
        <w:tabs>
          <w:tab w:val="left" w:pos="851"/>
        </w:tabs>
        <w:spacing w:before="113" w:line="360" w:lineRule="auto"/>
        <w:ind w:right="3"/>
        <w:jc w:val="both"/>
        <w:rPr>
          <w:rFonts w:ascii="Arial" w:hAnsi="Arial" w:cs="Arial"/>
          <w:i/>
          <w:iCs/>
          <w:color w:val="FF0000"/>
          <w:w w:val="110"/>
        </w:rPr>
      </w:pPr>
      <w:r>
        <w:rPr>
          <w:rFonts w:ascii="Arial" w:hAnsi="Arial" w:cs="Arial"/>
          <w:w w:val="110"/>
        </w:rPr>
        <w:t>Para firmeza e validade do pactuado, a presente Ata foi lavrada em 02 (duas) vias de igual teor, que, depois de lida e achada em ordem, vai assinada pelas partes.</w:t>
      </w:r>
    </w:p>
    <w:p>
      <w:pPr>
        <w:tabs>
          <w:tab w:val="left" w:pos="851"/>
        </w:tabs>
        <w:spacing w:before="113" w:line="360" w:lineRule="auto"/>
        <w:ind w:left="284" w:right="747"/>
        <w:jc w:val="both"/>
        <w:rPr>
          <w:rFonts w:ascii="Arial" w:hAnsi="Arial" w:cs="Arial"/>
          <w:i/>
          <w:iCs/>
          <w:color w:val="FF0000"/>
          <w:w w:val="110"/>
        </w:rPr>
      </w:pPr>
    </w:p>
    <w:p>
      <w:pPr>
        <w:tabs>
          <w:tab w:val="left" w:pos="851"/>
        </w:tabs>
        <w:spacing w:before="113" w:line="360" w:lineRule="auto"/>
        <w:ind w:left="284" w:right="747"/>
        <w:jc w:val="both"/>
        <w:rPr>
          <w:rFonts w:ascii="Arial" w:hAnsi="Arial" w:cs="Arial"/>
          <w:i/>
          <w:iCs/>
          <w:color w:val="FF0000"/>
          <w:w w:val="110"/>
        </w:rPr>
      </w:pPr>
    </w:p>
    <w:p>
      <w:pPr>
        <w:tabs>
          <w:tab w:val="left" w:pos="851"/>
        </w:tabs>
        <w:spacing w:before="113" w:line="360" w:lineRule="auto"/>
        <w:ind w:left="284" w:right="747"/>
        <w:jc w:val="both"/>
        <w:rPr>
          <w:rFonts w:ascii="Arial" w:hAnsi="Arial" w:cs="Arial"/>
          <w:i/>
          <w:iCs/>
          <w:color w:val="FF0000"/>
          <w:w w:val="110"/>
        </w:rPr>
      </w:pPr>
    </w:p>
    <w:p>
      <w:pPr>
        <w:pStyle w:val="9"/>
        <w:spacing w:after="120" w:line="360" w:lineRule="auto"/>
        <w:rPr>
          <w:rFonts w:ascii="Arial" w:hAnsi="Arial" w:cs="Arial"/>
          <w:b/>
          <w:bCs/>
          <w:highlight w:val="yellow"/>
        </w:rPr>
      </w:pPr>
      <w:r>
        <w:rPr>
          <w:rFonts w:ascii="Arial" w:hAnsi="Arial" w:cs="Arial"/>
          <w:b/>
          <w:bCs/>
          <w:highlight w:val="yellow"/>
        </w:rPr>
        <mc:AlternateContent>
          <mc:Choice Requires="wps">
            <w:drawing>
              <wp:anchor distT="0" distB="0" distL="0" distR="0" simplePos="0" relativeHeight="251659264" behindDoc="1" locked="0" layoutInCell="1" allowOverlap="1">
                <wp:simplePos x="0" y="0"/>
                <wp:positionH relativeFrom="page">
                  <wp:posOffset>2411095</wp:posOffset>
                </wp:positionH>
                <wp:positionV relativeFrom="paragraph">
                  <wp:posOffset>111125</wp:posOffset>
                </wp:positionV>
                <wp:extent cx="2724785" cy="0"/>
                <wp:effectExtent l="0" t="0" r="0" b="0"/>
                <wp:wrapTopAndBottom/>
                <wp:docPr id="7" name="Line 6"/>
                <wp:cNvGraphicFramePr/>
                <a:graphic xmlns:a="http://schemas.openxmlformats.org/drawingml/2006/main">
                  <a:graphicData uri="http://schemas.microsoft.com/office/word/2010/wordprocessingShape">
                    <wps:wsp>
                      <wps:cNvCnPr>
                        <a:cxnSpLocks noChangeShapeType="1"/>
                      </wps:cNvCnPr>
                      <wps:spPr bwMode="auto">
                        <a:xfrm>
                          <a:off x="0" y="0"/>
                          <a:ext cx="2724785" cy="0"/>
                        </a:xfrm>
                        <a:prstGeom prst="line">
                          <a:avLst/>
                        </a:prstGeom>
                        <a:noFill/>
                        <a:ln w="9790">
                          <a:solidFill>
                            <a:srgbClr val="000000"/>
                          </a:solidFill>
                          <a:prstDash val="solid"/>
                          <a:round/>
                        </a:ln>
                      </wps:spPr>
                      <wps:bodyPr/>
                    </wps:wsp>
                  </a:graphicData>
                </a:graphic>
              </wp:anchor>
            </w:drawing>
          </mc:Choice>
          <mc:Fallback>
            <w:pict>
              <v:line id="Line 6" o:spid="_x0000_s1026" o:spt="20" style="position:absolute;left:0pt;margin-left:189.85pt;margin-top:8.75pt;height:0pt;width:214.55pt;mso-position-horizontal-relative:page;mso-wrap-distance-bottom:0pt;mso-wrap-distance-top:0pt;z-index:-251657216;mso-width-relative:page;mso-height-relative:page;" filled="f" stroked="t" coordsize="21600,21600" o:gfxdata="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Nj/yH1AAAAAkBAAAPAAAAAAAAAAEAIAAAACIA&#10;AABkcnMvZG93bnJldi54bWxQSwECFAAUAAAACACHTuJAqPvALNQBAAC4AwAADgAAAAAAAAABACAA&#10;AAAjAQAAZHJzL2Uyb0RvYy54bWxQSwUGAAAAAAYABgBZAQAAaQUAAAAA&#10;">
                <v:fill on="f" focussize="0,0"/>
                <v:stroke weight="0.770866141732284pt" color="#000000" joinstyle="round"/>
                <v:imagedata o:title=""/>
                <o:lock v:ext="edit" aspectratio="f"/>
                <w10:wrap type="topAndBottom"/>
              </v:line>
            </w:pict>
          </mc:Fallback>
        </mc:AlternateContent>
      </w:r>
    </w:p>
    <w:p>
      <w:pPr>
        <w:pStyle w:val="9"/>
        <w:ind w:right="3"/>
        <w:jc w:val="center"/>
        <w:rPr>
          <w:rFonts w:ascii="Arial" w:hAnsi="Arial" w:eastAsia="Tahoma" w:cs="Arial"/>
          <w:b/>
          <w:bCs/>
          <w:w w:val="110"/>
          <w:sz w:val="22"/>
          <w:szCs w:val="22"/>
          <w:lang w:val="pt-PT" w:eastAsia="pt-PT" w:bidi="pt-PT"/>
        </w:rPr>
      </w:pPr>
      <w:r>
        <w:rPr>
          <w:rFonts w:ascii="Arial" w:hAnsi="Arial" w:eastAsia="Tahoma" w:cs="Arial"/>
          <w:b/>
          <w:bCs/>
          <w:w w:val="110"/>
          <w:sz w:val="22"/>
          <w:szCs w:val="22"/>
          <w:lang w:val="pt-PT" w:eastAsia="pt-PT" w:bidi="pt-PT"/>
        </w:rPr>
        <w:t>BERNARDO COELHO VERLY</w:t>
      </w:r>
    </w:p>
    <w:p>
      <w:pPr>
        <w:pStyle w:val="9"/>
        <w:ind w:right="3"/>
        <w:jc w:val="center"/>
        <w:rPr>
          <w:rFonts w:ascii="Arial" w:hAnsi="Arial" w:eastAsia="Tahoma" w:cs="Arial"/>
          <w:w w:val="110"/>
          <w:sz w:val="22"/>
          <w:szCs w:val="22"/>
          <w:lang w:val="pt-PT" w:eastAsia="pt-PT" w:bidi="pt-PT"/>
        </w:rPr>
      </w:pPr>
      <w:r>
        <w:rPr>
          <w:rFonts w:ascii="Arial" w:hAnsi="Arial" w:eastAsia="Tahoma" w:cs="Arial"/>
          <w:w w:val="110"/>
          <w:sz w:val="22"/>
          <w:szCs w:val="22"/>
          <w:lang w:val="pt-PT" w:eastAsia="pt-PT" w:bidi="pt-PT"/>
        </w:rPr>
        <w:t>Secretário de Infraestrutura e Obras</w:t>
      </w:r>
    </w:p>
    <w:p>
      <w:pPr>
        <w:pStyle w:val="9"/>
        <w:ind w:right="3"/>
        <w:jc w:val="center"/>
        <w:rPr>
          <w:rFonts w:ascii="Arial" w:hAnsi="Arial" w:eastAsia="Tahoma" w:cs="Arial"/>
          <w:w w:val="110"/>
          <w:sz w:val="22"/>
          <w:szCs w:val="22"/>
          <w:lang w:val="pt-PT" w:eastAsia="pt-PT" w:bidi="pt-PT"/>
        </w:rPr>
      </w:pPr>
      <w:r>
        <w:rPr>
          <w:rFonts w:ascii="Arial" w:hAnsi="Arial" w:eastAsia="Tahoma" w:cs="Arial"/>
          <w:w w:val="110"/>
          <w:sz w:val="22"/>
          <w:szCs w:val="22"/>
          <w:lang w:val="pt-PT" w:eastAsia="pt-PT" w:bidi="pt-PT"/>
        </w:rPr>
        <w:t>Matrícula 62.009</w:t>
      </w:r>
    </w:p>
    <w:p>
      <w:pPr>
        <w:pStyle w:val="9"/>
        <w:ind w:right="3"/>
        <w:jc w:val="center"/>
        <w:rPr>
          <w:rFonts w:ascii="Arial" w:hAnsi="Arial" w:cs="Arial"/>
          <w:w w:val="115"/>
        </w:rPr>
      </w:pPr>
    </w:p>
    <w:p>
      <w:pPr>
        <w:pStyle w:val="9"/>
        <w:ind w:right="3"/>
        <w:jc w:val="center"/>
        <w:rPr>
          <w:rFonts w:ascii="Arial" w:hAnsi="Arial" w:cs="Arial"/>
          <w:w w:val="115"/>
        </w:rPr>
      </w:pPr>
    </w:p>
    <w:p>
      <w:pPr>
        <w:pStyle w:val="9"/>
        <w:ind w:right="3"/>
        <w:jc w:val="center"/>
        <w:rPr>
          <w:rFonts w:ascii="Arial" w:hAnsi="Arial" w:cs="Arial"/>
          <w:w w:val="115"/>
        </w:rPr>
      </w:pPr>
    </w:p>
    <w:p>
      <w:pPr>
        <w:pStyle w:val="9"/>
        <w:ind w:right="3"/>
        <w:jc w:val="center"/>
        <w:rPr>
          <w:rFonts w:ascii="Arial" w:hAnsi="Arial" w:cs="Arial"/>
          <w:w w:val="115"/>
        </w:rPr>
      </w:pPr>
    </w:p>
    <w:p>
      <w:pPr>
        <w:pStyle w:val="9"/>
        <w:ind w:right="3"/>
        <w:jc w:val="center"/>
        <w:rPr>
          <w:rFonts w:ascii="Arial" w:hAnsi="Arial" w:cs="Arial"/>
          <w:w w:val="115"/>
        </w:rPr>
      </w:pPr>
    </w:p>
    <w:p>
      <w:pPr>
        <w:pStyle w:val="9"/>
        <w:ind w:right="3"/>
        <w:jc w:val="center"/>
        <w:rPr>
          <w:rFonts w:ascii="Arial" w:hAnsi="Arial" w:cs="Arial"/>
        </w:rPr>
      </w:pPr>
    </w:p>
    <w:p>
      <w:pPr>
        <w:pStyle w:val="9"/>
        <w:spacing w:after="120"/>
        <w:jc w:val="center"/>
        <w:rPr>
          <w:rFonts w:ascii="Arial" w:hAnsi="Arial" w:cs="Arial"/>
          <w:w w:val="115"/>
        </w:rPr>
      </w:pPr>
      <w:r>
        <w:rPr>
          <w:rFonts w:ascii="Arial" w:hAnsi="Arial" w:cs="Arial"/>
          <w:w w:val="115"/>
        </w:rPr>
        <w:t>________________________________________</w:t>
      </w:r>
    </w:p>
    <w:p>
      <w:pPr>
        <w:pStyle w:val="9"/>
        <w:spacing w:after="120" w:line="360" w:lineRule="auto"/>
        <w:jc w:val="center"/>
        <w:rPr>
          <w:rFonts w:ascii="Arial" w:hAnsi="Arial" w:cs="Arial"/>
          <w:w w:val="115"/>
        </w:rPr>
      </w:pPr>
      <w:r>
        <w:rPr>
          <w:rFonts w:ascii="Arial" w:hAnsi="Arial" w:cs="Arial"/>
          <w:w w:val="115"/>
        </w:rPr>
        <w:t>Empresa</w:t>
      </w:r>
    </w:p>
    <w:p>
      <w:pPr>
        <w:pStyle w:val="9"/>
        <w:spacing w:after="120" w:line="360" w:lineRule="auto"/>
        <w:jc w:val="center"/>
        <w:rPr>
          <w:rFonts w:ascii="Arial" w:hAnsi="Arial" w:cs="Arial"/>
          <w:w w:val="115"/>
        </w:rPr>
      </w:pPr>
    </w:p>
    <w:p>
      <w:pPr>
        <w:pStyle w:val="9"/>
        <w:spacing w:after="120" w:line="360" w:lineRule="auto"/>
        <w:jc w:val="center"/>
        <w:rPr>
          <w:rFonts w:ascii="Arial" w:hAnsi="Arial" w:cs="Arial"/>
          <w:w w:val="115"/>
        </w:rPr>
      </w:pPr>
    </w:p>
    <w:p>
      <w:pPr>
        <w:pStyle w:val="9"/>
        <w:spacing w:after="120" w:line="360" w:lineRule="auto"/>
        <w:jc w:val="center"/>
        <w:rPr>
          <w:rFonts w:ascii="Arial" w:hAnsi="Arial" w:cs="Arial"/>
          <w:w w:val="115"/>
        </w:rPr>
      </w:pPr>
    </w:p>
    <w:p>
      <w:pPr>
        <w:pStyle w:val="9"/>
        <w:tabs>
          <w:tab w:val="left" w:pos="6267"/>
        </w:tabs>
        <w:spacing w:after="120" w:line="360" w:lineRule="auto"/>
        <w:rPr>
          <w:rFonts w:ascii="Arial" w:hAnsi="Arial" w:cs="Arial"/>
          <w:w w:val="115"/>
        </w:rPr>
      </w:pPr>
      <w:r>
        <w:rPr>
          <w:rFonts w:ascii="Arial" w:hAnsi="Arial" w:cs="Arial"/>
          <w:w w:val="115"/>
        </w:rPr>
        <w:tab/>
      </w:r>
    </w:p>
    <w:p>
      <w:pPr>
        <w:pStyle w:val="9"/>
        <w:tabs>
          <w:tab w:val="left" w:pos="6267"/>
        </w:tabs>
        <w:spacing w:after="120" w:line="360" w:lineRule="auto"/>
        <w:rPr>
          <w:rFonts w:ascii="Arial" w:hAnsi="Arial" w:cs="Arial"/>
          <w:w w:val="115"/>
        </w:rPr>
      </w:pPr>
    </w:p>
    <w:p>
      <w:pPr>
        <w:pStyle w:val="9"/>
        <w:tabs>
          <w:tab w:val="left" w:pos="6267"/>
        </w:tabs>
        <w:spacing w:after="120" w:line="360" w:lineRule="auto"/>
        <w:rPr>
          <w:rFonts w:ascii="Arial" w:hAnsi="Arial" w:cs="Arial"/>
          <w:w w:val="115"/>
        </w:rPr>
      </w:pPr>
    </w:p>
    <w:p>
      <w:pPr>
        <w:pStyle w:val="9"/>
        <w:tabs>
          <w:tab w:val="left" w:pos="6267"/>
        </w:tabs>
        <w:spacing w:after="120" w:line="360" w:lineRule="auto"/>
        <w:rPr>
          <w:rFonts w:ascii="Arial" w:hAnsi="Arial" w:cs="Arial"/>
          <w:w w:val="115"/>
        </w:rPr>
      </w:pPr>
    </w:p>
    <w:p>
      <w:pPr>
        <w:pStyle w:val="9"/>
        <w:tabs>
          <w:tab w:val="left" w:pos="6267"/>
        </w:tabs>
        <w:spacing w:after="120" w:line="360" w:lineRule="auto"/>
        <w:rPr>
          <w:rFonts w:ascii="Arial" w:hAnsi="Arial" w:cs="Arial"/>
          <w:w w:val="115"/>
        </w:rPr>
      </w:pPr>
    </w:p>
    <w:p>
      <w:pPr>
        <w:pStyle w:val="9"/>
        <w:tabs>
          <w:tab w:val="left" w:pos="6267"/>
        </w:tabs>
        <w:spacing w:after="120" w:line="360" w:lineRule="auto"/>
        <w:rPr>
          <w:rFonts w:ascii="Arial" w:hAnsi="Arial" w:cs="Arial"/>
          <w:w w:val="115"/>
        </w:rPr>
      </w:pPr>
    </w:p>
    <w:p>
      <w:pPr>
        <w:pStyle w:val="9"/>
        <w:tabs>
          <w:tab w:val="left" w:pos="6267"/>
        </w:tabs>
        <w:spacing w:after="120" w:line="360" w:lineRule="auto"/>
        <w:rPr>
          <w:rFonts w:ascii="Arial" w:hAnsi="Arial" w:cs="Arial"/>
          <w:w w:val="115"/>
        </w:rPr>
      </w:pPr>
    </w:p>
    <w:p>
      <w:pPr>
        <w:pStyle w:val="9"/>
        <w:tabs>
          <w:tab w:val="left" w:pos="6267"/>
        </w:tabs>
        <w:spacing w:after="120" w:line="360" w:lineRule="auto"/>
        <w:rPr>
          <w:rFonts w:ascii="Arial" w:hAnsi="Arial" w:cs="Arial"/>
          <w:w w:val="115"/>
        </w:rPr>
      </w:pPr>
    </w:p>
    <w:p>
      <w:pPr>
        <w:pStyle w:val="9"/>
        <w:tabs>
          <w:tab w:val="left" w:pos="6267"/>
        </w:tabs>
        <w:spacing w:after="120" w:line="360" w:lineRule="auto"/>
        <w:rPr>
          <w:rFonts w:ascii="Arial" w:hAnsi="Arial" w:cs="Arial"/>
          <w:w w:val="115"/>
        </w:rPr>
      </w:pPr>
    </w:p>
    <w:p>
      <w:pPr>
        <w:pStyle w:val="9"/>
        <w:tabs>
          <w:tab w:val="left" w:pos="6267"/>
        </w:tabs>
        <w:spacing w:after="120" w:line="360" w:lineRule="auto"/>
        <w:rPr>
          <w:rFonts w:ascii="Arial" w:hAnsi="Arial" w:cs="Arial"/>
          <w:w w:val="115"/>
        </w:rPr>
      </w:pPr>
    </w:p>
    <w:p>
      <w:pPr>
        <w:pStyle w:val="9"/>
        <w:tabs>
          <w:tab w:val="left" w:pos="6267"/>
        </w:tabs>
        <w:spacing w:after="120" w:line="360" w:lineRule="auto"/>
        <w:rPr>
          <w:rFonts w:ascii="Arial" w:hAnsi="Arial" w:cs="Arial"/>
          <w:w w:val="115"/>
        </w:rPr>
      </w:pPr>
    </w:p>
    <w:p>
      <w:pPr>
        <w:adjustRightInd w:val="0"/>
        <w:spacing w:line="360" w:lineRule="auto"/>
        <w:ind w:right="-30"/>
        <w:jc w:val="center"/>
        <w:rPr>
          <w:rFonts w:ascii="Arial" w:hAnsi="Arial" w:cs="Arial"/>
          <w:b/>
          <w:bCs/>
          <w:color w:val="000000"/>
        </w:rPr>
      </w:pPr>
      <w:r>
        <w:rPr>
          <w:rFonts w:ascii="Arial" w:hAnsi="Arial" w:cs="Arial"/>
          <w:b/>
          <w:bCs/>
          <w:color w:val="000000"/>
        </w:rPr>
        <w:t>ANEXO</w:t>
      </w:r>
    </w:p>
    <w:p>
      <w:pPr>
        <w:adjustRightInd w:val="0"/>
        <w:spacing w:line="360" w:lineRule="auto"/>
        <w:ind w:right="-30"/>
        <w:jc w:val="center"/>
        <w:rPr>
          <w:rFonts w:ascii="Arial" w:hAnsi="Arial" w:cs="Arial"/>
          <w:color w:val="000000"/>
        </w:rPr>
      </w:pPr>
    </w:p>
    <w:p>
      <w:pPr>
        <w:adjustRightInd w:val="0"/>
        <w:spacing w:line="360" w:lineRule="auto"/>
        <w:ind w:right="-30"/>
        <w:jc w:val="center"/>
        <w:rPr>
          <w:rFonts w:ascii="Arial" w:hAnsi="Arial" w:cs="Arial"/>
          <w:color w:val="000000"/>
        </w:rPr>
      </w:pPr>
      <w:r>
        <w:rPr>
          <w:rFonts w:ascii="Arial" w:hAnsi="Arial" w:cs="Arial"/>
          <w:color w:val="000000"/>
        </w:rPr>
        <w:t>Cadastro Reserva</w:t>
      </w:r>
    </w:p>
    <w:p>
      <w:pPr>
        <w:adjustRightInd w:val="0"/>
        <w:spacing w:line="360" w:lineRule="auto"/>
        <w:ind w:right="-30"/>
        <w:jc w:val="center"/>
        <w:rPr>
          <w:rFonts w:ascii="Arial" w:hAnsi="Arial" w:cs="Arial"/>
          <w:color w:val="000000"/>
        </w:rPr>
      </w:pPr>
    </w:p>
    <w:p>
      <w:pPr>
        <w:adjustRightInd w:val="0"/>
        <w:spacing w:line="360" w:lineRule="auto"/>
        <w:ind w:right="-30"/>
        <w:jc w:val="both"/>
        <w:rPr>
          <w:rFonts w:ascii="Arial" w:hAnsi="Arial" w:cs="Arial"/>
          <w:color w:val="000000"/>
        </w:rPr>
      </w:pPr>
      <w:r>
        <w:rPr>
          <w:rFonts w:ascii="Arial" w:hAnsi="Arial" w:cs="Arial"/>
          <w:color w:val="000000"/>
        </w:rPr>
        <w:t>Seguindo a ordem de classificação, segue relação de fornecedores que aceitaram cotar os itens com preços iguais ao adjudicatário:</w:t>
      </w:r>
    </w:p>
    <w:p>
      <w:pPr>
        <w:adjustRightInd w:val="0"/>
        <w:spacing w:line="360" w:lineRule="auto"/>
        <w:ind w:right="-30"/>
        <w:jc w:val="center"/>
        <w:rPr>
          <w:rFonts w:ascii="Arial" w:hAnsi="Arial" w:cs="Arial"/>
          <w:color w:val="000000"/>
        </w:rPr>
      </w:pPr>
    </w:p>
    <w:tbl>
      <w:tblPr>
        <w:tblStyle w:val="5"/>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741"/>
        <w:gridCol w:w="2081"/>
        <w:gridCol w:w="4305"/>
        <w:gridCol w:w="1093"/>
        <w:gridCol w:w="143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384" w:type="pct"/>
            <w:shd w:val="clear" w:color="auto" w:fill="D9D9D9"/>
          </w:tcPr>
          <w:p>
            <w:pPr>
              <w:pStyle w:val="16"/>
              <w:spacing w:after="120" w:line="360" w:lineRule="auto"/>
              <w:rPr>
                <w:rFonts w:ascii="Arial" w:hAnsi="Arial" w:cs="Arial"/>
              </w:rPr>
            </w:pPr>
          </w:p>
        </w:tc>
        <w:tc>
          <w:tcPr>
            <w:tcW w:w="4616" w:type="pct"/>
            <w:gridSpan w:val="4"/>
            <w:shd w:val="clear" w:color="auto" w:fill="D9D9D9"/>
          </w:tcPr>
          <w:p>
            <w:pPr>
              <w:pStyle w:val="16"/>
              <w:spacing w:after="120" w:line="360" w:lineRule="auto"/>
              <w:ind w:left="3430" w:right="3411"/>
              <w:jc w:val="center"/>
              <w:rPr>
                <w:rFonts w:ascii="Arial" w:hAnsi="Arial" w:cs="Arial"/>
                <w:b/>
              </w:rPr>
            </w:pPr>
            <w:r>
              <w:rPr>
                <w:rFonts w:ascii="Arial" w:hAnsi="Arial" w:cs="Arial"/>
                <w:b/>
                <w:w w:val="105"/>
              </w:rPr>
              <w:t>XXª Classificada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384" w:type="pct"/>
            <w:shd w:val="clear" w:color="auto" w:fill="F1F1F1"/>
          </w:tcPr>
          <w:p>
            <w:pPr>
              <w:pStyle w:val="16"/>
              <w:spacing w:after="120" w:line="360" w:lineRule="auto"/>
              <w:rPr>
                <w:rFonts w:ascii="Arial" w:hAnsi="Arial" w:cs="Arial"/>
              </w:rPr>
            </w:pPr>
          </w:p>
        </w:tc>
        <w:tc>
          <w:tcPr>
            <w:tcW w:w="4616" w:type="pct"/>
            <w:gridSpan w:val="4"/>
            <w:shd w:val="clear" w:color="auto" w:fill="F1F1F1"/>
          </w:tcPr>
          <w:p>
            <w:pPr>
              <w:pStyle w:val="16"/>
              <w:spacing w:after="120" w:line="360" w:lineRule="auto"/>
              <w:ind w:left="110"/>
              <w:rPr>
                <w:rFonts w:ascii="Arial" w:hAnsi="Arial" w:cs="Arial"/>
                <w:b/>
              </w:rPr>
            </w:pPr>
            <w:r>
              <w:rPr>
                <w:rFonts w:ascii="Arial" w:hAnsi="Arial" w:cs="Arial"/>
                <w:b/>
                <w:w w:val="110"/>
              </w:rPr>
              <w:t>Empresa: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jc w:val="center"/>
        </w:trPr>
        <w:tc>
          <w:tcPr>
            <w:tcW w:w="384" w:type="pct"/>
            <w:shd w:val="clear" w:color="auto" w:fill="F1F1F1"/>
          </w:tcPr>
          <w:p>
            <w:pPr>
              <w:pStyle w:val="16"/>
              <w:spacing w:after="120" w:line="360" w:lineRule="auto"/>
              <w:rPr>
                <w:rFonts w:ascii="Arial" w:hAnsi="Arial" w:cs="Arial"/>
              </w:rPr>
            </w:pPr>
          </w:p>
        </w:tc>
        <w:tc>
          <w:tcPr>
            <w:tcW w:w="4616" w:type="pct"/>
            <w:gridSpan w:val="4"/>
            <w:shd w:val="clear" w:color="auto" w:fill="F1F1F1"/>
          </w:tcPr>
          <w:p>
            <w:pPr>
              <w:pStyle w:val="16"/>
              <w:spacing w:after="120" w:line="360" w:lineRule="auto"/>
              <w:ind w:left="110"/>
              <w:rPr>
                <w:rFonts w:ascii="Arial" w:hAnsi="Arial" w:cs="Arial"/>
                <w:b/>
              </w:rPr>
            </w:pPr>
            <w:r>
              <w:rPr>
                <w:rFonts w:ascii="Arial" w:hAnsi="Arial" w:cs="Arial"/>
                <w:b/>
                <w:w w:val="105"/>
              </w:rPr>
              <w:t>Endereço:</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1462" w:type="pct"/>
            <w:gridSpan w:val="2"/>
            <w:shd w:val="clear" w:color="auto" w:fill="F1F1F1"/>
          </w:tcPr>
          <w:p>
            <w:pPr>
              <w:pStyle w:val="16"/>
              <w:spacing w:after="120" w:line="360" w:lineRule="auto"/>
              <w:ind w:left="110"/>
              <w:rPr>
                <w:rFonts w:ascii="Arial" w:hAnsi="Arial" w:cs="Arial"/>
                <w:b/>
              </w:rPr>
            </w:pPr>
            <w:r>
              <w:rPr>
                <w:rFonts w:ascii="Arial" w:hAnsi="Arial" w:cs="Arial"/>
                <w:b/>
              </w:rPr>
              <w:t>CNPJ:</w:t>
            </w:r>
          </w:p>
        </w:tc>
        <w:tc>
          <w:tcPr>
            <w:tcW w:w="2230" w:type="pct"/>
            <w:shd w:val="clear" w:color="auto" w:fill="F1F1F1"/>
          </w:tcPr>
          <w:p>
            <w:pPr>
              <w:pStyle w:val="16"/>
              <w:spacing w:after="120" w:line="360" w:lineRule="auto"/>
              <w:ind w:left="110"/>
              <w:rPr>
                <w:rFonts w:ascii="Arial" w:hAnsi="Arial" w:cs="Arial"/>
                <w:b/>
              </w:rPr>
            </w:pPr>
            <w:r>
              <w:rPr>
                <w:rFonts w:ascii="Arial" w:hAnsi="Arial" w:cs="Arial"/>
                <w:b/>
                <w:w w:val="105"/>
              </w:rPr>
              <w:t>E-mail:</w:t>
            </w:r>
          </w:p>
        </w:tc>
        <w:tc>
          <w:tcPr>
            <w:tcW w:w="566" w:type="pct"/>
            <w:shd w:val="clear" w:color="auto" w:fill="F1F1F1"/>
          </w:tcPr>
          <w:p>
            <w:pPr>
              <w:pStyle w:val="16"/>
              <w:spacing w:after="120" w:line="360" w:lineRule="auto"/>
              <w:rPr>
                <w:rFonts w:ascii="Arial" w:hAnsi="Arial" w:cs="Arial"/>
              </w:rPr>
            </w:pPr>
          </w:p>
        </w:tc>
        <w:tc>
          <w:tcPr>
            <w:tcW w:w="742" w:type="pct"/>
            <w:shd w:val="clear" w:color="auto" w:fill="F1F1F1"/>
          </w:tcPr>
          <w:p>
            <w:pPr>
              <w:pStyle w:val="16"/>
              <w:spacing w:after="120" w:line="360" w:lineRule="auto"/>
              <w:ind w:left="113"/>
              <w:rPr>
                <w:rFonts w:ascii="Arial" w:hAnsi="Arial" w:cs="Arial"/>
                <w:b/>
              </w:rPr>
            </w:pPr>
            <w:r>
              <w:rPr>
                <w:rFonts w:ascii="Arial" w:hAnsi="Arial" w:cs="Arial"/>
                <w:b/>
                <w:w w:val="110"/>
              </w:rPr>
              <w:t>Telefone:</w:t>
            </w:r>
          </w:p>
        </w:tc>
      </w:tr>
    </w:tbl>
    <w:p>
      <w:pPr>
        <w:spacing w:after="120" w:line="360" w:lineRule="auto"/>
        <w:rPr>
          <w:rFonts w:ascii="Arial" w:hAnsi="Arial" w:cs="Arial"/>
        </w:rPr>
      </w:pPr>
    </w:p>
    <w:tbl>
      <w:tblPr>
        <w:tblStyle w:val="5"/>
        <w:tblW w:w="5000" w:type="pct"/>
        <w:tblInd w:w="0" w:type="dxa"/>
        <w:tblLayout w:type="autofit"/>
        <w:tblCellMar>
          <w:top w:w="0" w:type="dxa"/>
          <w:left w:w="70" w:type="dxa"/>
          <w:bottom w:w="0" w:type="dxa"/>
          <w:right w:w="70" w:type="dxa"/>
        </w:tblCellMar>
      </w:tblPr>
      <w:tblGrid>
        <w:gridCol w:w="666"/>
        <w:gridCol w:w="1289"/>
        <w:gridCol w:w="3674"/>
        <w:gridCol w:w="839"/>
        <w:gridCol w:w="813"/>
        <w:gridCol w:w="1205"/>
        <w:gridCol w:w="1296"/>
      </w:tblGrid>
      <w:tr>
        <w:tblPrEx>
          <w:tblCellMar>
            <w:top w:w="0" w:type="dxa"/>
            <w:left w:w="70" w:type="dxa"/>
            <w:bottom w:w="0" w:type="dxa"/>
            <w:right w:w="70" w:type="dxa"/>
          </w:tblCellMar>
        </w:tblPrEx>
        <w:trPr>
          <w:trHeight w:val="347" w:hRule="atLeast"/>
        </w:trPr>
        <w:tc>
          <w:tcPr>
            <w:tcW w:w="316"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 xml:space="preserve">ITEM </w:t>
            </w:r>
          </w:p>
        </w:tc>
        <w:tc>
          <w:tcPr>
            <w:tcW w:w="563"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Nº REGISTRO</w:t>
            </w:r>
          </w:p>
        </w:tc>
        <w:tc>
          <w:tcPr>
            <w:tcW w:w="1950"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ESPECIFICAÇÃO</w:t>
            </w:r>
          </w:p>
        </w:tc>
        <w:tc>
          <w:tcPr>
            <w:tcW w:w="501"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 xml:space="preserve">UNID. </w:t>
            </w:r>
          </w:p>
        </w:tc>
        <w:tc>
          <w:tcPr>
            <w:tcW w:w="385"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QTDE.</w:t>
            </w:r>
          </w:p>
        </w:tc>
        <w:tc>
          <w:tcPr>
            <w:tcW w:w="1285" w:type="pct"/>
            <w:gridSpan w:val="2"/>
            <w:tcBorders>
              <w:top w:val="single" w:color="auto" w:sz="4" w:space="0"/>
              <w:left w:val="nil"/>
              <w:bottom w:val="single" w:color="auto" w:sz="4" w:space="0"/>
              <w:right w:val="single" w:color="auto" w:sz="4" w:space="0"/>
            </w:tcBorders>
            <w:shd w:val="clear" w:color="auto" w:fill="2F5496" w:themeFill="accent1" w:themeFillShade="BF"/>
            <w:vAlign w:val="center"/>
          </w:tcPr>
          <w:p>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PREÇO</w:t>
            </w:r>
          </w:p>
        </w:tc>
      </w:tr>
      <w:tr>
        <w:tblPrEx>
          <w:tblCellMar>
            <w:top w:w="0" w:type="dxa"/>
            <w:left w:w="70" w:type="dxa"/>
            <w:bottom w:w="0" w:type="dxa"/>
            <w:right w:w="70" w:type="dxa"/>
          </w:tblCellMar>
        </w:tblPrEx>
        <w:trPr>
          <w:trHeight w:val="425" w:hRule="atLeast"/>
        </w:trPr>
        <w:tc>
          <w:tcPr>
            <w:tcW w:w="316"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rPr>
                <w:rFonts w:ascii="Arial" w:hAnsi="Arial" w:cs="Arial"/>
                <w:b/>
                <w:bCs/>
                <w:color w:val="FFFFFF" w:themeColor="background1"/>
                <w14:textFill>
                  <w14:solidFill>
                    <w14:schemeClr w14:val="bg1"/>
                  </w14:solidFill>
                </w14:textFill>
              </w:rPr>
            </w:pPr>
          </w:p>
        </w:tc>
        <w:tc>
          <w:tcPr>
            <w:tcW w:w="563"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rPr>
                <w:rFonts w:ascii="Arial" w:hAnsi="Arial" w:cs="Arial"/>
                <w:b/>
                <w:bCs/>
                <w:color w:val="FFFFFF" w:themeColor="background1"/>
                <w14:textFill>
                  <w14:solidFill>
                    <w14:schemeClr w14:val="bg1"/>
                  </w14:solidFill>
                </w14:textFill>
              </w:rPr>
            </w:pPr>
          </w:p>
        </w:tc>
        <w:tc>
          <w:tcPr>
            <w:tcW w:w="1950"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rPr>
                <w:rFonts w:ascii="Arial" w:hAnsi="Arial" w:cs="Arial"/>
                <w:b/>
                <w:bCs/>
                <w:color w:val="FFFFFF" w:themeColor="background1"/>
                <w14:textFill>
                  <w14:solidFill>
                    <w14:schemeClr w14:val="bg1"/>
                  </w14:solidFill>
                </w14:textFill>
              </w:rPr>
            </w:pPr>
          </w:p>
        </w:tc>
        <w:tc>
          <w:tcPr>
            <w:tcW w:w="501"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rPr>
                <w:rFonts w:ascii="Arial" w:hAnsi="Arial" w:cs="Arial"/>
                <w:b/>
                <w:bCs/>
                <w:color w:val="FFFFFF" w:themeColor="background1"/>
                <w14:textFill>
                  <w14:solidFill>
                    <w14:schemeClr w14:val="bg1"/>
                  </w14:solidFill>
                </w14:textFill>
              </w:rPr>
            </w:pPr>
          </w:p>
        </w:tc>
        <w:tc>
          <w:tcPr>
            <w:tcW w:w="385"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rPr>
                <w:rFonts w:ascii="Arial" w:hAnsi="Arial" w:cs="Arial"/>
                <w:b/>
                <w:bCs/>
                <w:color w:val="FFFFFF" w:themeColor="background1"/>
                <w14:textFill>
                  <w14:solidFill>
                    <w14:schemeClr w14:val="bg1"/>
                  </w14:solidFill>
                </w14:textFill>
              </w:rPr>
            </w:pPr>
          </w:p>
        </w:tc>
        <w:tc>
          <w:tcPr>
            <w:tcW w:w="551" w:type="pct"/>
            <w:tcBorders>
              <w:top w:val="single" w:color="auto" w:sz="4" w:space="0"/>
              <w:left w:val="nil"/>
              <w:bottom w:val="single" w:color="auto" w:sz="4" w:space="0"/>
              <w:right w:val="single" w:color="auto" w:sz="4" w:space="0"/>
            </w:tcBorders>
            <w:shd w:val="clear" w:color="auto" w:fill="2F5496" w:themeFill="accent1" w:themeFillShade="BF"/>
            <w:vAlign w:val="center"/>
          </w:tcPr>
          <w:p>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UNITÁRIO</w:t>
            </w:r>
          </w:p>
        </w:tc>
        <w:tc>
          <w:tcPr>
            <w:tcW w:w="734" w:type="pct"/>
            <w:tcBorders>
              <w:top w:val="single" w:color="auto" w:sz="4" w:space="0"/>
              <w:left w:val="nil"/>
              <w:bottom w:val="single" w:color="auto" w:sz="4" w:space="0"/>
              <w:right w:val="single" w:color="auto" w:sz="4" w:space="0"/>
            </w:tcBorders>
            <w:shd w:val="clear" w:color="auto" w:fill="2F5496" w:themeFill="accent1" w:themeFillShade="BF"/>
            <w:vAlign w:val="center"/>
          </w:tcPr>
          <w:p>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TOTAL</w:t>
            </w:r>
          </w:p>
        </w:tc>
      </w:tr>
      <w:tr>
        <w:tblPrEx>
          <w:tblCellMar>
            <w:top w:w="0" w:type="dxa"/>
            <w:left w:w="70" w:type="dxa"/>
            <w:bottom w:w="0" w:type="dxa"/>
            <w:right w:w="70" w:type="dxa"/>
          </w:tblCellMar>
        </w:tblPrEx>
        <w:trPr>
          <w:trHeight w:val="732" w:hRule="atLeast"/>
        </w:trPr>
        <w:tc>
          <w:tcPr>
            <w:tcW w:w="316"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rPr>
            </w:pPr>
            <w:r>
              <w:rPr>
                <w:rFonts w:ascii="Arial" w:hAnsi="Arial" w:cs="Arial"/>
                <w:color w:val="000000"/>
              </w:rPr>
              <w:t>1</w:t>
            </w:r>
          </w:p>
        </w:tc>
        <w:tc>
          <w:tcPr>
            <w:tcW w:w="563" w:type="pct"/>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rPr>
            </w:pPr>
          </w:p>
        </w:tc>
        <w:tc>
          <w:tcPr>
            <w:tcW w:w="1950" w:type="pct"/>
            <w:tcBorders>
              <w:top w:val="single" w:color="auto" w:sz="4" w:space="0"/>
              <w:left w:val="nil"/>
              <w:bottom w:val="single" w:color="auto" w:sz="4" w:space="0"/>
              <w:right w:val="single" w:color="auto" w:sz="4" w:space="0"/>
            </w:tcBorders>
            <w:shd w:val="clear" w:color="auto" w:fill="auto"/>
            <w:vAlign w:val="center"/>
          </w:tcPr>
          <w:p>
            <w:pPr>
              <w:rPr>
                <w:rFonts w:ascii="Arial" w:hAnsi="Arial" w:cs="Arial"/>
                <w:color w:val="000000"/>
              </w:rPr>
            </w:pPr>
          </w:p>
        </w:tc>
        <w:tc>
          <w:tcPr>
            <w:tcW w:w="501" w:type="pct"/>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rPr>
            </w:pPr>
          </w:p>
        </w:tc>
        <w:tc>
          <w:tcPr>
            <w:tcW w:w="385" w:type="pct"/>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rPr>
            </w:pPr>
          </w:p>
        </w:tc>
        <w:tc>
          <w:tcPr>
            <w:tcW w:w="551" w:type="pct"/>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rPr>
            </w:pPr>
          </w:p>
        </w:tc>
        <w:tc>
          <w:tcPr>
            <w:tcW w:w="734" w:type="pct"/>
            <w:tcBorders>
              <w:top w:val="single" w:color="auto" w:sz="4" w:space="0"/>
              <w:left w:val="nil"/>
              <w:bottom w:val="single" w:color="auto" w:sz="4" w:space="0"/>
              <w:right w:val="single" w:color="auto" w:sz="4" w:space="0"/>
            </w:tcBorders>
            <w:shd w:val="clear" w:color="auto" w:fill="auto"/>
            <w:vAlign w:val="center"/>
          </w:tcPr>
          <w:p>
            <w:pPr>
              <w:jc w:val="right"/>
              <w:rPr>
                <w:rFonts w:ascii="Arial" w:hAnsi="Arial" w:cs="Arial"/>
                <w:color w:val="000000"/>
              </w:rPr>
            </w:pPr>
          </w:p>
        </w:tc>
      </w:tr>
      <w:tr>
        <w:tblPrEx>
          <w:tblCellMar>
            <w:top w:w="0" w:type="dxa"/>
            <w:left w:w="70" w:type="dxa"/>
            <w:bottom w:w="0" w:type="dxa"/>
            <w:right w:w="70" w:type="dxa"/>
          </w:tblCellMar>
        </w:tblPrEx>
        <w:trPr>
          <w:trHeight w:val="732" w:hRule="atLeast"/>
        </w:trPr>
        <w:tc>
          <w:tcPr>
            <w:tcW w:w="316"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rPr>
            </w:pPr>
            <w:r>
              <w:rPr>
                <w:rFonts w:ascii="Arial" w:hAnsi="Arial" w:cs="Arial"/>
                <w:color w:val="000000"/>
              </w:rPr>
              <w:t>2</w:t>
            </w:r>
          </w:p>
        </w:tc>
        <w:tc>
          <w:tcPr>
            <w:tcW w:w="563" w:type="pct"/>
            <w:tcBorders>
              <w:top w:val="single" w:color="auto" w:sz="4" w:space="0"/>
              <w:left w:val="nil"/>
              <w:bottom w:val="single" w:color="auto" w:sz="4" w:space="0"/>
              <w:right w:val="nil"/>
            </w:tcBorders>
            <w:shd w:val="clear" w:color="auto" w:fill="auto"/>
            <w:vAlign w:val="center"/>
          </w:tcPr>
          <w:p>
            <w:pPr>
              <w:jc w:val="center"/>
              <w:rPr>
                <w:rFonts w:ascii="Arial" w:hAnsi="Arial" w:cs="Arial"/>
                <w:color w:val="000000"/>
              </w:rPr>
            </w:pPr>
          </w:p>
        </w:tc>
        <w:tc>
          <w:tcPr>
            <w:tcW w:w="1950" w:type="pct"/>
            <w:tcBorders>
              <w:top w:val="single" w:color="auto" w:sz="4" w:space="0"/>
              <w:left w:val="single" w:color="auto" w:sz="4" w:space="0"/>
              <w:bottom w:val="single" w:color="auto" w:sz="4" w:space="0"/>
              <w:right w:val="nil"/>
            </w:tcBorders>
            <w:shd w:val="clear" w:color="auto" w:fill="auto"/>
            <w:vAlign w:val="center"/>
          </w:tcPr>
          <w:p>
            <w:pPr>
              <w:rPr>
                <w:rFonts w:ascii="Arial" w:hAnsi="Arial" w:cs="Arial"/>
                <w:color w:val="000000"/>
              </w:rPr>
            </w:pPr>
          </w:p>
        </w:tc>
        <w:tc>
          <w:tcPr>
            <w:tcW w:w="501" w:type="pct"/>
            <w:tcBorders>
              <w:top w:val="single" w:color="auto" w:sz="4" w:space="0"/>
              <w:left w:val="single" w:color="auto" w:sz="4" w:space="0"/>
              <w:bottom w:val="single" w:color="auto" w:sz="4" w:space="0"/>
              <w:right w:val="nil"/>
            </w:tcBorders>
            <w:shd w:val="clear" w:color="auto" w:fill="auto"/>
            <w:vAlign w:val="center"/>
          </w:tcPr>
          <w:p>
            <w:pPr>
              <w:jc w:val="center"/>
              <w:rPr>
                <w:rFonts w:ascii="Arial" w:hAnsi="Arial" w:cs="Arial"/>
                <w:color w:val="000000"/>
              </w:rPr>
            </w:pPr>
          </w:p>
        </w:tc>
        <w:tc>
          <w:tcPr>
            <w:tcW w:w="385"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rPr>
            </w:pPr>
          </w:p>
        </w:tc>
        <w:tc>
          <w:tcPr>
            <w:tcW w:w="551" w:type="pct"/>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rPr>
            </w:pPr>
          </w:p>
        </w:tc>
        <w:tc>
          <w:tcPr>
            <w:tcW w:w="734" w:type="pct"/>
            <w:tcBorders>
              <w:top w:val="single" w:color="auto" w:sz="4" w:space="0"/>
              <w:left w:val="nil"/>
              <w:bottom w:val="single" w:color="auto" w:sz="4" w:space="0"/>
              <w:right w:val="single" w:color="auto" w:sz="4" w:space="0"/>
            </w:tcBorders>
            <w:shd w:val="clear" w:color="auto" w:fill="auto"/>
            <w:vAlign w:val="center"/>
          </w:tcPr>
          <w:p>
            <w:pPr>
              <w:jc w:val="right"/>
              <w:rPr>
                <w:rFonts w:ascii="Arial" w:hAnsi="Arial" w:cs="Arial"/>
                <w:color w:val="000000"/>
              </w:rPr>
            </w:pPr>
          </w:p>
        </w:tc>
      </w:tr>
      <w:tr>
        <w:tblPrEx>
          <w:tblCellMar>
            <w:top w:w="0" w:type="dxa"/>
            <w:left w:w="70" w:type="dxa"/>
            <w:bottom w:w="0" w:type="dxa"/>
            <w:right w:w="70" w:type="dxa"/>
          </w:tblCellMar>
        </w:tblPrEx>
        <w:trPr>
          <w:trHeight w:val="732" w:hRule="atLeast"/>
        </w:trPr>
        <w:tc>
          <w:tcPr>
            <w:tcW w:w="316"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rPr>
            </w:pPr>
            <w:r>
              <w:rPr>
                <w:rFonts w:ascii="Arial" w:hAnsi="Arial" w:cs="Arial"/>
                <w:color w:val="000000"/>
              </w:rPr>
              <w:t>...</w:t>
            </w:r>
          </w:p>
        </w:tc>
        <w:tc>
          <w:tcPr>
            <w:tcW w:w="563" w:type="pct"/>
            <w:tcBorders>
              <w:top w:val="single" w:color="auto" w:sz="4" w:space="0"/>
              <w:left w:val="nil"/>
              <w:bottom w:val="single" w:color="auto" w:sz="4" w:space="0"/>
              <w:right w:val="nil"/>
            </w:tcBorders>
            <w:shd w:val="clear" w:color="auto" w:fill="auto"/>
            <w:vAlign w:val="center"/>
          </w:tcPr>
          <w:p>
            <w:pPr>
              <w:jc w:val="center"/>
              <w:rPr>
                <w:rFonts w:ascii="Arial" w:hAnsi="Arial" w:cs="Arial"/>
                <w:color w:val="000000"/>
              </w:rPr>
            </w:pPr>
          </w:p>
        </w:tc>
        <w:tc>
          <w:tcPr>
            <w:tcW w:w="1950" w:type="pct"/>
            <w:tcBorders>
              <w:top w:val="single" w:color="auto" w:sz="4" w:space="0"/>
              <w:left w:val="single" w:color="auto" w:sz="4" w:space="0"/>
              <w:bottom w:val="single" w:color="auto" w:sz="4" w:space="0"/>
              <w:right w:val="nil"/>
            </w:tcBorders>
            <w:shd w:val="clear" w:color="auto" w:fill="auto"/>
            <w:vAlign w:val="center"/>
          </w:tcPr>
          <w:p>
            <w:pPr>
              <w:rPr>
                <w:rFonts w:ascii="Arial" w:hAnsi="Arial" w:cs="Arial"/>
                <w:color w:val="000000"/>
              </w:rPr>
            </w:pPr>
          </w:p>
        </w:tc>
        <w:tc>
          <w:tcPr>
            <w:tcW w:w="501" w:type="pct"/>
            <w:tcBorders>
              <w:top w:val="single" w:color="auto" w:sz="4" w:space="0"/>
              <w:left w:val="single" w:color="auto" w:sz="4" w:space="0"/>
              <w:bottom w:val="single" w:color="auto" w:sz="4" w:space="0"/>
              <w:right w:val="nil"/>
            </w:tcBorders>
            <w:shd w:val="clear" w:color="auto" w:fill="auto"/>
            <w:noWrap/>
            <w:vAlign w:val="center"/>
          </w:tcPr>
          <w:p>
            <w:pPr>
              <w:jc w:val="center"/>
              <w:rPr>
                <w:rFonts w:ascii="Arial" w:hAnsi="Arial" w:cs="Arial"/>
                <w:color w:val="000000"/>
              </w:rPr>
            </w:pPr>
          </w:p>
        </w:tc>
        <w:tc>
          <w:tcPr>
            <w:tcW w:w="385"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Arial" w:hAnsi="Arial" w:cs="Arial"/>
                <w:color w:val="000000"/>
              </w:rPr>
            </w:pPr>
          </w:p>
        </w:tc>
        <w:tc>
          <w:tcPr>
            <w:tcW w:w="551" w:type="pct"/>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rPr>
            </w:pPr>
          </w:p>
        </w:tc>
        <w:tc>
          <w:tcPr>
            <w:tcW w:w="734" w:type="pct"/>
            <w:tcBorders>
              <w:top w:val="single" w:color="auto" w:sz="4" w:space="0"/>
              <w:left w:val="nil"/>
              <w:bottom w:val="single" w:color="auto" w:sz="4" w:space="0"/>
              <w:right w:val="single" w:color="auto" w:sz="4" w:space="0"/>
            </w:tcBorders>
            <w:shd w:val="clear" w:color="auto" w:fill="auto"/>
            <w:vAlign w:val="center"/>
          </w:tcPr>
          <w:p>
            <w:pPr>
              <w:jc w:val="right"/>
              <w:rPr>
                <w:rFonts w:ascii="Arial" w:hAnsi="Arial" w:cs="Arial"/>
                <w:color w:val="000000"/>
              </w:rPr>
            </w:pPr>
          </w:p>
        </w:tc>
      </w:tr>
      <w:tr>
        <w:tblPrEx>
          <w:tblCellMar>
            <w:top w:w="0" w:type="dxa"/>
            <w:left w:w="70" w:type="dxa"/>
            <w:bottom w:w="0" w:type="dxa"/>
            <w:right w:w="70" w:type="dxa"/>
          </w:tblCellMar>
        </w:tblPrEx>
        <w:trPr>
          <w:trHeight w:val="714" w:hRule="atLeast"/>
        </w:trPr>
        <w:tc>
          <w:tcPr>
            <w:tcW w:w="4266" w:type="pct"/>
            <w:gridSpan w:val="6"/>
            <w:tcBorders>
              <w:top w:val="single" w:color="auto" w:sz="4" w:space="0"/>
              <w:left w:val="single" w:color="auto" w:sz="4" w:space="0"/>
              <w:bottom w:val="single" w:color="auto" w:sz="4" w:space="0"/>
              <w:right w:val="single" w:color="auto" w:sz="4" w:space="0"/>
            </w:tcBorders>
            <w:shd w:val="clear" w:color="CCFFCC" w:fill="DDDDDD"/>
            <w:vAlign w:val="center"/>
          </w:tcPr>
          <w:p>
            <w:pPr>
              <w:jc w:val="right"/>
              <w:rPr>
                <w:rFonts w:ascii="Arial" w:hAnsi="Arial" w:cs="Arial"/>
                <w:b/>
                <w:bCs/>
                <w:color w:val="000000"/>
              </w:rPr>
            </w:pPr>
            <w:r>
              <w:rPr>
                <w:rFonts w:ascii="Arial" w:hAnsi="Arial" w:cs="Arial"/>
                <w:b/>
                <w:bCs/>
                <w:color w:val="000000"/>
              </w:rPr>
              <w:t>TOTAL REGISTRADO</w:t>
            </w:r>
          </w:p>
        </w:tc>
        <w:tc>
          <w:tcPr>
            <w:tcW w:w="734" w:type="pct"/>
            <w:tcBorders>
              <w:top w:val="nil"/>
              <w:left w:val="nil"/>
              <w:bottom w:val="single" w:color="auto" w:sz="4" w:space="0"/>
              <w:right w:val="single" w:color="auto" w:sz="4" w:space="0"/>
            </w:tcBorders>
            <w:shd w:val="clear" w:color="CCFFCC" w:fill="DDDDDD"/>
            <w:vAlign w:val="center"/>
          </w:tcPr>
          <w:p>
            <w:pPr>
              <w:jc w:val="right"/>
              <w:rPr>
                <w:rFonts w:ascii="Arial" w:hAnsi="Arial" w:cs="Arial"/>
                <w:b/>
                <w:bCs/>
                <w:color w:val="000000"/>
              </w:rPr>
            </w:pPr>
            <w:r>
              <w:rPr>
                <w:rFonts w:ascii="Arial" w:hAnsi="Arial" w:cs="Arial"/>
                <w:b/>
                <w:bCs/>
                <w:color w:val="000000"/>
              </w:rPr>
              <w:t> </w:t>
            </w:r>
          </w:p>
        </w:tc>
      </w:tr>
    </w:tbl>
    <w:p>
      <w:pPr>
        <w:pStyle w:val="9"/>
        <w:spacing w:after="120" w:line="360" w:lineRule="auto"/>
        <w:rPr>
          <w:rFonts w:ascii="Arial" w:hAnsi="Arial" w:cs="Arial"/>
        </w:rPr>
      </w:pPr>
    </w:p>
    <w:p>
      <w:pPr>
        <w:pStyle w:val="9"/>
        <w:spacing w:after="120" w:line="360" w:lineRule="auto"/>
        <w:rPr>
          <w:rFonts w:ascii="Arial" w:hAnsi="Arial" w:cs="Arial"/>
        </w:rPr>
      </w:pPr>
    </w:p>
    <w:p>
      <w:pPr>
        <w:pStyle w:val="9"/>
        <w:spacing w:after="120" w:line="360" w:lineRule="auto"/>
        <w:rPr>
          <w:rFonts w:ascii="Arial" w:hAnsi="Arial" w:cs="Arial"/>
        </w:rPr>
      </w:pPr>
    </w:p>
    <w:p>
      <w:pPr>
        <w:pStyle w:val="9"/>
        <w:spacing w:after="120" w:line="360" w:lineRule="auto"/>
        <w:rPr>
          <w:rFonts w:ascii="Arial" w:hAnsi="Arial" w:cs="Arial"/>
        </w:rPr>
      </w:pPr>
    </w:p>
    <w:p>
      <w:pPr>
        <w:pStyle w:val="9"/>
        <w:spacing w:after="120" w:line="360" w:lineRule="auto"/>
        <w:rPr>
          <w:rFonts w:ascii="Arial" w:hAnsi="Arial" w:cs="Arial"/>
        </w:rPr>
      </w:pPr>
    </w:p>
    <w:p>
      <w:pPr>
        <w:pStyle w:val="9"/>
        <w:spacing w:after="120" w:line="360" w:lineRule="auto"/>
        <w:rPr>
          <w:rFonts w:ascii="Arial" w:hAnsi="Arial" w:cs="Arial"/>
        </w:rPr>
      </w:pPr>
    </w:p>
    <w:p>
      <w:pPr>
        <w:pStyle w:val="9"/>
        <w:spacing w:after="120" w:line="360" w:lineRule="auto"/>
        <w:rPr>
          <w:rFonts w:ascii="Arial" w:hAnsi="Arial" w:cs="Arial"/>
        </w:rPr>
      </w:pPr>
    </w:p>
    <w:p>
      <w:pPr>
        <w:pStyle w:val="9"/>
        <w:spacing w:after="120" w:line="360" w:lineRule="auto"/>
        <w:rPr>
          <w:rFonts w:ascii="Arial" w:hAnsi="Arial" w:cs="Arial"/>
        </w:rPr>
      </w:pPr>
    </w:p>
    <w:p>
      <w:pPr>
        <w:pStyle w:val="9"/>
        <w:spacing w:after="120" w:line="360" w:lineRule="auto"/>
        <w:rPr>
          <w:rFonts w:ascii="Arial" w:hAnsi="Arial" w:cs="Arial"/>
        </w:rPr>
      </w:pPr>
    </w:p>
    <w:p>
      <w:pPr>
        <w:adjustRightInd w:val="0"/>
        <w:spacing w:line="360" w:lineRule="auto"/>
        <w:ind w:right="-30"/>
        <w:jc w:val="center"/>
        <w:rPr>
          <w:rFonts w:ascii="Arial" w:hAnsi="Arial" w:cs="Arial"/>
          <w:color w:val="000000"/>
        </w:rPr>
      </w:pPr>
      <w:r>
        <w:rPr>
          <w:rFonts w:ascii="Arial" w:hAnsi="Arial" w:cs="Arial"/>
          <w:color w:val="000000"/>
        </w:rPr>
        <w:t>Seguindo a ordem de classificação, segue relação de fornecedores que mantiveram sua proposta original:</w:t>
      </w:r>
    </w:p>
    <w:p>
      <w:pPr>
        <w:pStyle w:val="9"/>
        <w:spacing w:after="120" w:line="360" w:lineRule="auto"/>
        <w:ind w:left="262" w:right="547"/>
        <w:jc w:val="both"/>
        <w:rPr>
          <w:rFonts w:ascii="Arial" w:hAnsi="Arial" w:cs="Arial"/>
        </w:rPr>
      </w:pPr>
    </w:p>
    <w:tbl>
      <w:tblPr>
        <w:tblStyle w:val="5"/>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741"/>
        <w:gridCol w:w="2081"/>
        <w:gridCol w:w="4305"/>
        <w:gridCol w:w="1093"/>
        <w:gridCol w:w="143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384" w:type="pct"/>
            <w:shd w:val="clear" w:color="auto" w:fill="D9D9D9"/>
          </w:tcPr>
          <w:p>
            <w:pPr>
              <w:pStyle w:val="16"/>
              <w:spacing w:after="120" w:line="360" w:lineRule="auto"/>
              <w:rPr>
                <w:rFonts w:ascii="Arial" w:hAnsi="Arial" w:cs="Arial"/>
              </w:rPr>
            </w:pPr>
          </w:p>
        </w:tc>
        <w:tc>
          <w:tcPr>
            <w:tcW w:w="4616" w:type="pct"/>
            <w:gridSpan w:val="4"/>
            <w:shd w:val="clear" w:color="auto" w:fill="D9D9D9"/>
          </w:tcPr>
          <w:p>
            <w:pPr>
              <w:pStyle w:val="16"/>
              <w:spacing w:after="120" w:line="360" w:lineRule="auto"/>
              <w:ind w:left="3430" w:right="3411"/>
              <w:jc w:val="center"/>
              <w:rPr>
                <w:rFonts w:ascii="Arial" w:hAnsi="Arial" w:cs="Arial"/>
                <w:b/>
              </w:rPr>
            </w:pPr>
            <w:r>
              <w:rPr>
                <w:rFonts w:ascii="Arial" w:hAnsi="Arial" w:cs="Arial"/>
                <w:b/>
                <w:w w:val="105"/>
              </w:rPr>
              <w:t>XXª Classificada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384" w:type="pct"/>
            <w:shd w:val="clear" w:color="auto" w:fill="F1F1F1"/>
          </w:tcPr>
          <w:p>
            <w:pPr>
              <w:pStyle w:val="16"/>
              <w:spacing w:after="120" w:line="360" w:lineRule="auto"/>
              <w:rPr>
                <w:rFonts w:ascii="Arial" w:hAnsi="Arial" w:cs="Arial"/>
              </w:rPr>
            </w:pPr>
          </w:p>
        </w:tc>
        <w:tc>
          <w:tcPr>
            <w:tcW w:w="4616" w:type="pct"/>
            <w:gridSpan w:val="4"/>
            <w:shd w:val="clear" w:color="auto" w:fill="F1F1F1"/>
          </w:tcPr>
          <w:p>
            <w:pPr>
              <w:pStyle w:val="16"/>
              <w:spacing w:after="120" w:line="360" w:lineRule="auto"/>
              <w:ind w:left="110"/>
              <w:rPr>
                <w:rFonts w:ascii="Arial" w:hAnsi="Arial" w:cs="Arial"/>
                <w:b/>
              </w:rPr>
            </w:pPr>
            <w:r>
              <w:rPr>
                <w:rFonts w:ascii="Arial" w:hAnsi="Arial" w:cs="Arial"/>
                <w:b/>
                <w:w w:val="110"/>
              </w:rPr>
              <w:t>Empresa: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jc w:val="center"/>
        </w:trPr>
        <w:tc>
          <w:tcPr>
            <w:tcW w:w="384" w:type="pct"/>
            <w:shd w:val="clear" w:color="auto" w:fill="F1F1F1"/>
          </w:tcPr>
          <w:p>
            <w:pPr>
              <w:pStyle w:val="16"/>
              <w:spacing w:after="120" w:line="360" w:lineRule="auto"/>
              <w:rPr>
                <w:rFonts w:ascii="Arial" w:hAnsi="Arial" w:cs="Arial"/>
              </w:rPr>
            </w:pPr>
          </w:p>
        </w:tc>
        <w:tc>
          <w:tcPr>
            <w:tcW w:w="4616" w:type="pct"/>
            <w:gridSpan w:val="4"/>
            <w:shd w:val="clear" w:color="auto" w:fill="F1F1F1"/>
          </w:tcPr>
          <w:p>
            <w:pPr>
              <w:pStyle w:val="16"/>
              <w:spacing w:after="120" w:line="360" w:lineRule="auto"/>
              <w:ind w:left="110"/>
              <w:rPr>
                <w:rFonts w:ascii="Arial" w:hAnsi="Arial" w:cs="Arial"/>
                <w:b/>
              </w:rPr>
            </w:pPr>
            <w:r>
              <w:rPr>
                <w:rFonts w:ascii="Arial" w:hAnsi="Arial" w:cs="Arial"/>
                <w:b/>
                <w:w w:val="105"/>
              </w:rPr>
              <w:t>Endereço:</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1462" w:type="pct"/>
            <w:gridSpan w:val="2"/>
            <w:shd w:val="clear" w:color="auto" w:fill="F1F1F1"/>
          </w:tcPr>
          <w:p>
            <w:pPr>
              <w:pStyle w:val="16"/>
              <w:spacing w:after="120" w:line="360" w:lineRule="auto"/>
              <w:ind w:left="110"/>
              <w:rPr>
                <w:rFonts w:ascii="Arial" w:hAnsi="Arial" w:cs="Arial"/>
                <w:b/>
              </w:rPr>
            </w:pPr>
            <w:r>
              <w:rPr>
                <w:rFonts w:ascii="Arial" w:hAnsi="Arial" w:cs="Arial"/>
                <w:b/>
              </w:rPr>
              <w:t>CNPJ:</w:t>
            </w:r>
          </w:p>
        </w:tc>
        <w:tc>
          <w:tcPr>
            <w:tcW w:w="2230" w:type="pct"/>
            <w:shd w:val="clear" w:color="auto" w:fill="F1F1F1"/>
          </w:tcPr>
          <w:p>
            <w:pPr>
              <w:pStyle w:val="16"/>
              <w:spacing w:after="120" w:line="360" w:lineRule="auto"/>
              <w:ind w:left="110"/>
              <w:rPr>
                <w:rFonts w:ascii="Arial" w:hAnsi="Arial" w:cs="Arial"/>
                <w:b/>
              </w:rPr>
            </w:pPr>
            <w:r>
              <w:rPr>
                <w:rFonts w:ascii="Arial" w:hAnsi="Arial" w:cs="Arial"/>
                <w:b/>
                <w:w w:val="105"/>
              </w:rPr>
              <w:t>E-mail:</w:t>
            </w:r>
          </w:p>
        </w:tc>
        <w:tc>
          <w:tcPr>
            <w:tcW w:w="566" w:type="pct"/>
            <w:shd w:val="clear" w:color="auto" w:fill="F1F1F1"/>
          </w:tcPr>
          <w:p>
            <w:pPr>
              <w:pStyle w:val="16"/>
              <w:spacing w:after="120" w:line="360" w:lineRule="auto"/>
              <w:rPr>
                <w:rFonts w:ascii="Arial" w:hAnsi="Arial" w:cs="Arial"/>
              </w:rPr>
            </w:pPr>
          </w:p>
        </w:tc>
        <w:tc>
          <w:tcPr>
            <w:tcW w:w="742" w:type="pct"/>
            <w:shd w:val="clear" w:color="auto" w:fill="F1F1F1"/>
          </w:tcPr>
          <w:p>
            <w:pPr>
              <w:pStyle w:val="16"/>
              <w:spacing w:after="120" w:line="360" w:lineRule="auto"/>
              <w:ind w:left="113"/>
              <w:rPr>
                <w:rFonts w:ascii="Arial" w:hAnsi="Arial" w:cs="Arial"/>
                <w:b/>
              </w:rPr>
            </w:pPr>
            <w:r>
              <w:rPr>
                <w:rFonts w:ascii="Arial" w:hAnsi="Arial" w:cs="Arial"/>
                <w:b/>
                <w:w w:val="110"/>
              </w:rPr>
              <w:t>Telefone:</w:t>
            </w:r>
          </w:p>
        </w:tc>
      </w:tr>
    </w:tbl>
    <w:p>
      <w:pPr>
        <w:spacing w:after="120" w:line="360" w:lineRule="auto"/>
        <w:rPr>
          <w:rFonts w:ascii="Arial" w:hAnsi="Arial" w:cs="Arial"/>
        </w:rPr>
      </w:pPr>
    </w:p>
    <w:p>
      <w:pPr>
        <w:spacing w:after="120" w:line="360" w:lineRule="auto"/>
        <w:rPr>
          <w:rFonts w:ascii="Arial" w:hAnsi="Arial" w:cs="Arial"/>
        </w:rPr>
      </w:pPr>
    </w:p>
    <w:tbl>
      <w:tblPr>
        <w:tblStyle w:val="5"/>
        <w:tblW w:w="5000" w:type="pct"/>
        <w:tblInd w:w="0" w:type="dxa"/>
        <w:tblLayout w:type="autofit"/>
        <w:tblCellMar>
          <w:top w:w="0" w:type="dxa"/>
          <w:left w:w="70" w:type="dxa"/>
          <w:bottom w:w="0" w:type="dxa"/>
          <w:right w:w="70" w:type="dxa"/>
        </w:tblCellMar>
      </w:tblPr>
      <w:tblGrid>
        <w:gridCol w:w="666"/>
        <w:gridCol w:w="1289"/>
        <w:gridCol w:w="3674"/>
        <w:gridCol w:w="839"/>
        <w:gridCol w:w="813"/>
        <w:gridCol w:w="1205"/>
        <w:gridCol w:w="1296"/>
      </w:tblGrid>
      <w:tr>
        <w:tblPrEx>
          <w:tblCellMar>
            <w:top w:w="0" w:type="dxa"/>
            <w:left w:w="70" w:type="dxa"/>
            <w:bottom w:w="0" w:type="dxa"/>
            <w:right w:w="70" w:type="dxa"/>
          </w:tblCellMar>
        </w:tblPrEx>
        <w:trPr>
          <w:trHeight w:val="347" w:hRule="atLeast"/>
        </w:trPr>
        <w:tc>
          <w:tcPr>
            <w:tcW w:w="316"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 xml:space="preserve">ITEM </w:t>
            </w:r>
          </w:p>
        </w:tc>
        <w:tc>
          <w:tcPr>
            <w:tcW w:w="563"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Nº REGISTRO</w:t>
            </w:r>
          </w:p>
        </w:tc>
        <w:tc>
          <w:tcPr>
            <w:tcW w:w="1950"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ESPECIFICAÇÃO</w:t>
            </w:r>
          </w:p>
        </w:tc>
        <w:tc>
          <w:tcPr>
            <w:tcW w:w="501"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 xml:space="preserve">UNID. </w:t>
            </w:r>
          </w:p>
        </w:tc>
        <w:tc>
          <w:tcPr>
            <w:tcW w:w="385"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QTDE.</w:t>
            </w:r>
          </w:p>
        </w:tc>
        <w:tc>
          <w:tcPr>
            <w:tcW w:w="1285" w:type="pct"/>
            <w:gridSpan w:val="2"/>
            <w:tcBorders>
              <w:top w:val="single" w:color="auto" w:sz="4" w:space="0"/>
              <w:left w:val="nil"/>
              <w:bottom w:val="single" w:color="auto" w:sz="4" w:space="0"/>
              <w:right w:val="single" w:color="auto" w:sz="4" w:space="0"/>
            </w:tcBorders>
            <w:shd w:val="clear" w:color="auto" w:fill="2F5496" w:themeFill="accent1" w:themeFillShade="BF"/>
            <w:vAlign w:val="center"/>
          </w:tcPr>
          <w:p>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PREÇO</w:t>
            </w:r>
          </w:p>
        </w:tc>
      </w:tr>
      <w:tr>
        <w:tblPrEx>
          <w:tblCellMar>
            <w:top w:w="0" w:type="dxa"/>
            <w:left w:w="70" w:type="dxa"/>
            <w:bottom w:w="0" w:type="dxa"/>
            <w:right w:w="70" w:type="dxa"/>
          </w:tblCellMar>
        </w:tblPrEx>
        <w:trPr>
          <w:trHeight w:val="425" w:hRule="atLeast"/>
        </w:trPr>
        <w:tc>
          <w:tcPr>
            <w:tcW w:w="316"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rPr>
                <w:rFonts w:ascii="Arial" w:hAnsi="Arial" w:cs="Arial"/>
                <w:b/>
                <w:bCs/>
                <w:color w:val="FFFFFF" w:themeColor="background1"/>
                <w14:textFill>
                  <w14:solidFill>
                    <w14:schemeClr w14:val="bg1"/>
                  </w14:solidFill>
                </w14:textFill>
              </w:rPr>
            </w:pPr>
          </w:p>
        </w:tc>
        <w:tc>
          <w:tcPr>
            <w:tcW w:w="563"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rPr>
                <w:rFonts w:ascii="Arial" w:hAnsi="Arial" w:cs="Arial"/>
                <w:b/>
                <w:bCs/>
                <w:color w:val="FFFFFF" w:themeColor="background1"/>
                <w14:textFill>
                  <w14:solidFill>
                    <w14:schemeClr w14:val="bg1"/>
                  </w14:solidFill>
                </w14:textFill>
              </w:rPr>
            </w:pPr>
          </w:p>
        </w:tc>
        <w:tc>
          <w:tcPr>
            <w:tcW w:w="1950"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rPr>
                <w:rFonts w:ascii="Arial" w:hAnsi="Arial" w:cs="Arial"/>
                <w:b/>
                <w:bCs/>
                <w:color w:val="FFFFFF" w:themeColor="background1"/>
                <w14:textFill>
                  <w14:solidFill>
                    <w14:schemeClr w14:val="bg1"/>
                  </w14:solidFill>
                </w14:textFill>
              </w:rPr>
            </w:pPr>
          </w:p>
        </w:tc>
        <w:tc>
          <w:tcPr>
            <w:tcW w:w="501"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rPr>
                <w:rFonts w:ascii="Arial" w:hAnsi="Arial" w:cs="Arial"/>
                <w:b/>
                <w:bCs/>
                <w:color w:val="FFFFFF" w:themeColor="background1"/>
                <w14:textFill>
                  <w14:solidFill>
                    <w14:schemeClr w14:val="bg1"/>
                  </w14:solidFill>
                </w14:textFill>
              </w:rPr>
            </w:pPr>
          </w:p>
        </w:tc>
        <w:tc>
          <w:tcPr>
            <w:tcW w:w="385"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pPr>
              <w:rPr>
                <w:rFonts w:ascii="Arial" w:hAnsi="Arial" w:cs="Arial"/>
                <w:b/>
                <w:bCs/>
                <w:color w:val="FFFFFF" w:themeColor="background1"/>
                <w14:textFill>
                  <w14:solidFill>
                    <w14:schemeClr w14:val="bg1"/>
                  </w14:solidFill>
                </w14:textFill>
              </w:rPr>
            </w:pPr>
          </w:p>
        </w:tc>
        <w:tc>
          <w:tcPr>
            <w:tcW w:w="551" w:type="pct"/>
            <w:tcBorders>
              <w:top w:val="single" w:color="auto" w:sz="4" w:space="0"/>
              <w:left w:val="nil"/>
              <w:bottom w:val="single" w:color="auto" w:sz="4" w:space="0"/>
              <w:right w:val="single" w:color="auto" w:sz="4" w:space="0"/>
            </w:tcBorders>
            <w:shd w:val="clear" w:color="auto" w:fill="2F5496" w:themeFill="accent1" w:themeFillShade="BF"/>
            <w:vAlign w:val="center"/>
          </w:tcPr>
          <w:p>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UNITÁRIO</w:t>
            </w:r>
          </w:p>
        </w:tc>
        <w:tc>
          <w:tcPr>
            <w:tcW w:w="734" w:type="pct"/>
            <w:tcBorders>
              <w:top w:val="single" w:color="auto" w:sz="4" w:space="0"/>
              <w:left w:val="nil"/>
              <w:bottom w:val="single" w:color="auto" w:sz="4" w:space="0"/>
              <w:right w:val="single" w:color="auto" w:sz="4" w:space="0"/>
            </w:tcBorders>
            <w:shd w:val="clear" w:color="auto" w:fill="2F5496" w:themeFill="accent1" w:themeFillShade="BF"/>
            <w:vAlign w:val="center"/>
          </w:tcPr>
          <w:p>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TOTAL</w:t>
            </w:r>
          </w:p>
        </w:tc>
      </w:tr>
      <w:tr>
        <w:tblPrEx>
          <w:tblCellMar>
            <w:top w:w="0" w:type="dxa"/>
            <w:left w:w="70" w:type="dxa"/>
            <w:bottom w:w="0" w:type="dxa"/>
            <w:right w:w="70" w:type="dxa"/>
          </w:tblCellMar>
        </w:tblPrEx>
        <w:trPr>
          <w:trHeight w:val="732" w:hRule="atLeast"/>
        </w:trPr>
        <w:tc>
          <w:tcPr>
            <w:tcW w:w="316"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rPr>
            </w:pPr>
            <w:r>
              <w:rPr>
                <w:rFonts w:ascii="Arial" w:hAnsi="Arial" w:cs="Arial"/>
                <w:color w:val="000000"/>
              </w:rPr>
              <w:t>1</w:t>
            </w:r>
          </w:p>
        </w:tc>
        <w:tc>
          <w:tcPr>
            <w:tcW w:w="563" w:type="pct"/>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rPr>
            </w:pPr>
          </w:p>
        </w:tc>
        <w:tc>
          <w:tcPr>
            <w:tcW w:w="1950" w:type="pct"/>
            <w:tcBorders>
              <w:top w:val="single" w:color="auto" w:sz="4" w:space="0"/>
              <w:left w:val="nil"/>
              <w:bottom w:val="single" w:color="auto" w:sz="4" w:space="0"/>
              <w:right w:val="single" w:color="auto" w:sz="4" w:space="0"/>
            </w:tcBorders>
            <w:shd w:val="clear" w:color="auto" w:fill="auto"/>
            <w:vAlign w:val="center"/>
          </w:tcPr>
          <w:p>
            <w:pPr>
              <w:rPr>
                <w:rFonts w:ascii="Arial" w:hAnsi="Arial" w:cs="Arial"/>
                <w:color w:val="000000"/>
              </w:rPr>
            </w:pPr>
          </w:p>
        </w:tc>
        <w:tc>
          <w:tcPr>
            <w:tcW w:w="501" w:type="pct"/>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rPr>
            </w:pPr>
          </w:p>
        </w:tc>
        <w:tc>
          <w:tcPr>
            <w:tcW w:w="385" w:type="pct"/>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rPr>
            </w:pPr>
          </w:p>
        </w:tc>
        <w:tc>
          <w:tcPr>
            <w:tcW w:w="551" w:type="pct"/>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rPr>
            </w:pPr>
          </w:p>
        </w:tc>
        <w:tc>
          <w:tcPr>
            <w:tcW w:w="734" w:type="pct"/>
            <w:tcBorders>
              <w:top w:val="single" w:color="auto" w:sz="4" w:space="0"/>
              <w:left w:val="nil"/>
              <w:bottom w:val="single" w:color="auto" w:sz="4" w:space="0"/>
              <w:right w:val="single" w:color="auto" w:sz="4" w:space="0"/>
            </w:tcBorders>
            <w:shd w:val="clear" w:color="auto" w:fill="auto"/>
            <w:vAlign w:val="center"/>
          </w:tcPr>
          <w:p>
            <w:pPr>
              <w:jc w:val="right"/>
              <w:rPr>
                <w:rFonts w:ascii="Arial" w:hAnsi="Arial" w:cs="Arial"/>
                <w:color w:val="000000"/>
              </w:rPr>
            </w:pPr>
          </w:p>
        </w:tc>
      </w:tr>
      <w:tr>
        <w:tblPrEx>
          <w:tblCellMar>
            <w:top w:w="0" w:type="dxa"/>
            <w:left w:w="70" w:type="dxa"/>
            <w:bottom w:w="0" w:type="dxa"/>
            <w:right w:w="70" w:type="dxa"/>
          </w:tblCellMar>
        </w:tblPrEx>
        <w:trPr>
          <w:trHeight w:val="732" w:hRule="atLeast"/>
        </w:trPr>
        <w:tc>
          <w:tcPr>
            <w:tcW w:w="316"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rPr>
            </w:pPr>
            <w:r>
              <w:rPr>
                <w:rFonts w:ascii="Arial" w:hAnsi="Arial" w:cs="Arial"/>
                <w:color w:val="000000"/>
              </w:rPr>
              <w:t>2</w:t>
            </w:r>
          </w:p>
        </w:tc>
        <w:tc>
          <w:tcPr>
            <w:tcW w:w="563" w:type="pct"/>
            <w:tcBorders>
              <w:top w:val="single" w:color="auto" w:sz="4" w:space="0"/>
              <w:left w:val="nil"/>
              <w:bottom w:val="single" w:color="auto" w:sz="4" w:space="0"/>
              <w:right w:val="nil"/>
            </w:tcBorders>
            <w:shd w:val="clear" w:color="auto" w:fill="auto"/>
            <w:vAlign w:val="center"/>
          </w:tcPr>
          <w:p>
            <w:pPr>
              <w:jc w:val="center"/>
              <w:rPr>
                <w:rFonts w:ascii="Arial" w:hAnsi="Arial" w:cs="Arial"/>
                <w:color w:val="000000"/>
              </w:rPr>
            </w:pPr>
          </w:p>
        </w:tc>
        <w:tc>
          <w:tcPr>
            <w:tcW w:w="1950" w:type="pct"/>
            <w:tcBorders>
              <w:top w:val="single" w:color="auto" w:sz="4" w:space="0"/>
              <w:left w:val="single" w:color="auto" w:sz="4" w:space="0"/>
              <w:bottom w:val="single" w:color="auto" w:sz="4" w:space="0"/>
              <w:right w:val="nil"/>
            </w:tcBorders>
            <w:shd w:val="clear" w:color="auto" w:fill="auto"/>
            <w:vAlign w:val="center"/>
          </w:tcPr>
          <w:p>
            <w:pPr>
              <w:rPr>
                <w:rFonts w:ascii="Arial" w:hAnsi="Arial" w:cs="Arial"/>
                <w:color w:val="000000"/>
              </w:rPr>
            </w:pPr>
          </w:p>
        </w:tc>
        <w:tc>
          <w:tcPr>
            <w:tcW w:w="501" w:type="pct"/>
            <w:tcBorders>
              <w:top w:val="single" w:color="auto" w:sz="4" w:space="0"/>
              <w:left w:val="single" w:color="auto" w:sz="4" w:space="0"/>
              <w:bottom w:val="single" w:color="auto" w:sz="4" w:space="0"/>
              <w:right w:val="nil"/>
            </w:tcBorders>
            <w:shd w:val="clear" w:color="auto" w:fill="auto"/>
            <w:vAlign w:val="center"/>
          </w:tcPr>
          <w:p>
            <w:pPr>
              <w:jc w:val="center"/>
              <w:rPr>
                <w:rFonts w:ascii="Arial" w:hAnsi="Arial" w:cs="Arial"/>
                <w:color w:val="000000"/>
              </w:rPr>
            </w:pPr>
          </w:p>
        </w:tc>
        <w:tc>
          <w:tcPr>
            <w:tcW w:w="385"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rPr>
            </w:pPr>
          </w:p>
        </w:tc>
        <w:tc>
          <w:tcPr>
            <w:tcW w:w="551" w:type="pct"/>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rPr>
            </w:pPr>
          </w:p>
        </w:tc>
        <w:tc>
          <w:tcPr>
            <w:tcW w:w="734" w:type="pct"/>
            <w:tcBorders>
              <w:top w:val="single" w:color="auto" w:sz="4" w:space="0"/>
              <w:left w:val="nil"/>
              <w:bottom w:val="single" w:color="auto" w:sz="4" w:space="0"/>
              <w:right w:val="single" w:color="auto" w:sz="4" w:space="0"/>
            </w:tcBorders>
            <w:shd w:val="clear" w:color="auto" w:fill="auto"/>
            <w:vAlign w:val="center"/>
          </w:tcPr>
          <w:p>
            <w:pPr>
              <w:jc w:val="right"/>
              <w:rPr>
                <w:rFonts w:ascii="Arial" w:hAnsi="Arial" w:cs="Arial"/>
                <w:color w:val="000000"/>
              </w:rPr>
            </w:pPr>
          </w:p>
        </w:tc>
      </w:tr>
      <w:tr>
        <w:tblPrEx>
          <w:tblCellMar>
            <w:top w:w="0" w:type="dxa"/>
            <w:left w:w="70" w:type="dxa"/>
            <w:bottom w:w="0" w:type="dxa"/>
            <w:right w:w="70" w:type="dxa"/>
          </w:tblCellMar>
        </w:tblPrEx>
        <w:trPr>
          <w:trHeight w:val="732" w:hRule="atLeast"/>
        </w:trPr>
        <w:tc>
          <w:tcPr>
            <w:tcW w:w="316"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rPr>
            </w:pPr>
            <w:r>
              <w:rPr>
                <w:rFonts w:ascii="Arial" w:hAnsi="Arial" w:cs="Arial"/>
                <w:color w:val="000000"/>
              </w:rPr>
              <w:t>...</w:t>
            </w:r>
          </w:p>
        </w:tc>
        <w:tc>
          <w:tcPr>
            <w:tcW w:w="563" w:type="pct"/>
            <w:tcBorders>
              <w:top w:val="single" w:color="auto" w:sz="4" w:space="0"/>
              <w:left w:val="nil"/>
              <w:bottom w:val="single" w:color="auto" w:sz="4" w:space="0"/>
              <w:right w:val="nil"/>
            </w:tcBorders>
            <w:shd w:val="clear" w:color="auto" w:fill="auto"/>
            <w:vAlign w:val="center"/>
          </w:tcPr>
          <w:p>
            <w:pPr>
              <w:jc w:val="center"/>
              <w:rPr>
                <w:rFonts w:ascii="Arial" w:hAnsi="Arial" w:cs="Arial"/>
                <w:color w:val="000000"/>
              </w:rPr>
            </w:pPr>
          </w:p>
        </w:tc>
        <w:tc>
          <w:tcPr>
            <w:tcW w:w="1950" w:type="pct"/>
            <w:tcBorders>
              <w:top w:val="single" w:color="auto" w:sz="4" w:space="0"/>
              <w:left w:val="single" w:color="auto" w:sz="4" w:space="0"/>
              <w:bottom w:val="single" w:color="auto" w:sz="4" w:space="0"/>
              <w:right w:val="nil"/>
            </w:tcBorders>
            <w:shd w:val="clear" w:color="auto" w:fill="auto"/>
            <w:vAlign w:val="center"/>
          </w:tcPr>
          <w:p>
            <w:pPr>
              <w:rPr>
                <w:rFonts w:ascii="Arial" w:hAnsi="Arial" w:cs="Arial"/>
                <w:color w:val="000000"/>
              </w:rPr>
            </w:pPr>
          </w:p>
        </w:tc>
        <w:tc>
          <w:tcPr>
            <w:tcW w:w="501" w:type="pct"/>
            <w:tcBorders>
              <w:top w:val="single" w:color="auto" w:sz="4" w:space="0"/>
              <w:left w:val="single" w:color="auto" w:sz="4" w:space="0"/>
              <w:bottom w:val="single" w:color="auto" w:sz="4" w:space="0"/>
              <w:right w:val="nil"/>
            </w:tcBorders>
            <w:shd w:val="clear" w:color="auto" w:fill="auto"/>
            <w:noWrap/>
            <w:vAlign w:val="center"/>
          </w:tcPr>
          <w:p>
            <w:pPr>
              <w:jc w:val="center"/>
              <w:rPr>
                <w:rFonts w:ascii="Arial" w:hAnsi="Arial" w:cs="Arial"/>
                <w:color w:val="000000"/>
              </w:rPr>
            </w:pPr>
          </w:p>
        </w:tc>
        <w:tc>
          <w:tcPr>
            <w:tcW w:w="385"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Arial" w:hAnsi="Arial" w:cs="Arial"/>
                <w:color w:val="000000"/>
              </w:rPr>
            </w:pPr>
          </w:p>
        </w:tc>
        <w:tc>
          <w:tcPr>
            <w:tcW w:w="551" w:type="pct"/>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rPr>
            </w:pPr>
          </w:p>
        </w:tc>
        <w:tc>
          <w:tcPr>
            <w:tcW w:w="734" w:type="pct"/>
            <w:tcBorders>
              <w:top w:val="single" w:color="auto" w:sz="4" w:space="0"/>
              <w:left w:val="nil"/>
              <w:bottom w:val="single" w:color="auto" w:sz="4" w:space="0"/>
              <w:right w:val="single" w:color="auto" w:sz="4" w:space="0"/>
            </w:tcBorders>
            <w:shd w:val="clear" w:color="auto" w:fill="auto"/>
            <w:vAlign w:val="center"/>
          </w:tcPr>
          <w:p>
            <w:pPr>
              <w:jc w:val="right"/>
              <w:rPr>
                <w:rFonts w:ascii="Arial" w:hAnsi="Arial" w:cs="Arial"/>
                <w:color w:val="000000"/>
              </w:rPr>
            </w:pPr>
          </w:p>
        </w:tc>
      </w:tr>
      <w:tr>
        <w:tblPrEx>
          <w:tblCellMar>
            <w:top w:w="0" w:type="dxa"/>
            <w:left w:w="70" w:type="dxa"/>
            <w:bottom w:w="0" w:type="dxa"/>
            <w:right w:w="70" w:type="dxa"/>
          </w:tblCellMar>
        </w:tblPrEx>
        <w:trPr>
          <w:trHeight w:val="714" w:hRule="atLeast"/>
        </w:trPr>
        <w:tc>
          <w:tcPr>
            <w:tcW w:w="4266" w:type="pct"/>
            <w:gridSpan w:val="6"/>
            <w:tcBorders>
              <w:top w:val="single" w:color="auto" w:sz="4" w:space="0"/>
              <w:left w:val="single" w:color="auto" w:sz="4" w:space="0"/>
              <w:bottom w:val="single" w:color="auto" w:sz="4" w:space="0"/>
              <w:right w:val="single" w:color="auto" w:sz="4" w:space="0"/>
            </w:tcBorders>
            <w:shd w:val="clear" w:color="CCFFCC" w:fill="DDDDDD"/>
            <w:vAlign w:val="center"/>
          </w:tcPr>
          <w:p>
            <w:pPr>
              <w:jc w:val="right"/>
              <w:rPr>
                <w:rFonts w:ascii="Arial" w:hAnsi="Arial" w:cs="Arial"/>
                <w:b/>
                <w:bCs/>
                <w:color w:val="000000"/>
              </w:rPr>
            </w:pPr>
            <w:r>
              <w:rPr>
                <w:rFonts w:ascii="Arial" w:hAnsi="Arial" w:cs="Arial"/>
                <w:b/>
                <w:bCs/>
                <w:color w:val="000000"/>
              </w:rPr>
              <w:t>TOTAL REGISTRADO</w:t>
            </w:r>
          </w:p>
        </w:tc>
        <w:tc>
          <w:tcPr>
            <w:tcW w:w="734" w:type="pct"/>
            <w:tcBorders>
              <w:top w:val="nil"/>
              <w:left w:val="nil"/>
              <w:bottom w:val="single" w:color="auto" w:sz="4" w:space="0"/>
              <w:right w:val="single" w:color="auto" w:sz="4" w:space="0"/>
            </w:tcBorders>
            <w:shd w:val="clear" w:color="CCFFCC" w:fill="DDDDDD"/>
            <w:vAlign w:val="center"/>
          </w:tcPr>
          <w:p>
            <w:pPr>
              <w:jc w:val="right"/>
              <w:rPr>
                <w:rFonts w:ascii="Arial" w:hAnsi="Arial" w:cs="Arial"/>
                <w:b/>
                <w:bCs/>
                <w:color w:val="000000"/>
              </w:rPr>
            </w:pPr>
            <w:r>
              <w:rPr>
                <w:rFonts w:ascii="Arial" w:hAnsi="Arial" w:cs="Arial"/>
                <w:b/>
                <w:bCs/>
                <w:color w:val="000000"/>
              </w:rPr>
              <w:t> </w:t>
            </w:r>
          </w:p>
        </w:tc>
      </w:tr>
    </w:tbl>
    <w:p>
      <w:pPr>
        <w:pStyle w:val="9"/>
        <w:jc w:val="center"/>
        <w:rPr>
          <w:rFonts w:ascii="Arial" w:hAnsi="Arial" w:cs="Arial"/>
          <w:w w:val="115"/>
        </w:rPr>
      </w:pPr>
    </w:p>
    <w:sectPr>
      <w:headerReference r:id="rId5" w:type="first"/>
      <w:footerReference r:id="rId8" w:type="first"/>
      <w:headerReference r:id="rId3" w:type="default"/>
      <w:footerReference r:id="rId6" w:type="default"/>
      <w:headerReference r:id="rId4" w:type="even"/>
      <w:footerReference r:id="rId7" w:type="even"/>
      <w:pgSz w:w="11910" w:h="16850"/>
      <w:pgMar w:top="1418" w:right="1134" w:bottom="1418" w:left="1134" w:header="0" w:footer="289"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Gill Sans MT">
    <w:panose1 w:val="020B0502020104020203"/>
    <w:charset w:val="00"/>
    <w:family w:val="swiss"/>
    <w:pitch w:val="default"/>
    <w:sig w:usb0="00000003" w:usb1="00000000" w:usb2="00000000" w:usb3="00000000" w:csb0="20000003" w:csb1="00000000"/>
  </w:font>
  <w:font w:name="Cambria">
    <w:panose1 w:val="02040503050406030204"/>
    <w:charset w:val="00"/>
    <w:family w:val="roman"/>
    <w:pitch w:val="default"/>
    <w:sig w:usb0="E00006FF" w:usb1="420024FF" w:usb2="02000000" w:usb3="00000000" w:csb0="2000019F" w:csb1="00000000"/>
  </w:font>
  <w:font w:name="Ecofont_Spranq_eco_Sans">
    <w:altName w:val="Cambria"/>
    <w:panose1 w:val="00000000000000000000"/>
    <w:charset w:val="00"/>
    <w:family w:val="swiss"/>
    <w:pitch w:val="default"/>
    <w:sig w:usb0="00000000" w:usb1="00000000" w:usb2="00000000" w:usb3="00000000" w:csb0="00000001" w:csb1="00000000"/>
  </w:font>
  <w:font w:name="Segoe UI">
    <w:panose1 w:val="020B0502040204020203"/>
    <w:charset w:val="00"/>
    <w:family w:val="swiss"/>
    <w:pitch w:val="default"/>
    <w:sig w:usb0="E4002EFF" w:usb1="C000E47F" w:usb2="00000009" w:usb3="00000000" w:csb0="200001FF" w:csb1="00000000"/>
  </w:font>
  <w:font w:name="等线 Light">
    <w:altName w:val="Liberation Mono"/>
    <w:panose1 w:val="00000000000000000000"/>
    <w:charset w:val="00"/>
    <w:family w:val="auto"/>
    <w:pitch w:val="default"/>
    <w:sig w:usb0="00000000" w:usb1="00000000" w:usb2="00000000" w:usb3="00000000" w:csb0="00000000" w:csb1="00000000"/>
  </w:font>
  <w:font w:name="Liberation Mono">
    <w:panose1 w:val="02070409020205020404"/>
    <w:charset w:val="00"/>
    <w:family w:val="auto"/>
    <w:pitch w:val="default"/>
    <w:sig w:usb0="E0000AFF" w:usb1="400078FF" w:usb2="00000001" w:usb3="00000000" w:csb0="600001BF" w:csb1="DFF70000"/>
  </w:font>
  <w:font w:name="等线">
    <w:altName w:val="Microsoft YaHei"/>
    <w:panose1 w:val="00000000000000000000"/>
    <w:charset w:val="00"/>
    <w:family w:val="auto"/>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 w:name="Azo Sans Lt">
    <w:panose1 w:val="02000000000000000000"/>
    <w:charset w:val="00"/>
    <w:family w:val="modern"/>
    <w:pitch w:val="default"/>
    <w:sig w:usb0="00000007" w:usb1="00000000" w:usb2="00000000" w:usb3="00000000" w:csb0="2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rPr>
        <w:rFonts w:ascii="Azo Sans Lt" w:hAnsi="Azo Sans Lt"/>
        <w:b/>
        <w:bCs/>
        <w:color w:val="000000"/>
        <w:sz w:val="18"/>
        <w:szCs w:val="18"/>
        <w:lang w:val="pt-BR"/>
      </w:rPr>
    </w:pPr>
  </w:p>
  <w:p>
    <w:pPr>
      <w:pStyle w:val="12"/>
      <w:jc w:val="center"/>
      <w:rPr>
        <w:rFonts w:ascii="Azo Sans Lt" w:hAnsi="Azo Sans Lt"/>
        <w:b/>
        <w:bCs/>
        <w:color w:val="000000"/>
        <w:sz w:val="16"/>
        <w:szCs w:val="16"/>
        <w:lang w:val="pt-BR"/>
      </w:rPr>
    </w:pPr>
    <w:r>
      <w:rPr>
        <w:rFonts w:ascii="Azo Sans Lt" w:hAnsi="Azo Sans Lt"/>
        <w:b/>
        <w:bCs/>
        <w:color w:val="000000"/>
        <w:sz w:val="16"/>
        <w:szCs w:val="16"/>
        <w:lang w:val="pt-BR"/>
      </w:rPr>
      <w:t>Av. Alberto Braune, nº 224 – sobreloja – Centro – Nova Friburgo – RJ</w:t>
    </w:r>
  </w:p>
  <w:p>
    <w:pPr>
      <w:pStyle w:val="12"/>
      <w:jc w:val="center"/>
      <w:rPr>
        <w:rFonts w:ascii="Azo Sans Lt" w:hAnsi="Azo Sans Lt"/>
        <w:b/>
        <w:bCs/>
        <w:color w:val="000000"/>
        <w:sz w:val="16"/>
        <w:szCs w:val="16"/>
        <w:lang w:val="pt-BR"/>
      </w:rPr>
    </w:pPr>
    <w:r>
      <w:rPr>
        <w:rFonts w:ascii="Azo Sans Lt" w:hAnsi="Azo Sans Lt"/>
        <w:b/>
        <w:bCs/>
        <w:color w:val="000000"/>
        <w:sz w:val="16"/>
        <w:szCs w:val="16"/>
        <w:lang w:val="pt-BR"/>
      </w:rPr>
      <w:t xml:space="preserve">e-mail: </w:t>
    </w:r>
    <w:r>
      <w:rPr>
        <w:rFonts w:hint="default" w:ascii="Azo Sans Lt" w:hAnsi="Azo Sans Lt"/>
        <w:b/>
        <w:bCs/>
        <w:color w:val="000000"/>
        <w:sz w:val="16"/>
        <w:szCs w:val="16"/>
        <w:lang w:val="pt-BR"/>
      </w:rPr>
      <w:t>licitacaopmnf@gmail.com</w:t>
    </w:r>
    <w:r>
      <w:rPr>
        <w:rFonts w:ascii="Azo Sans Lt" w:hAnsi="Azo Sans Lt"/>
        <w:b/>
        <w:bCs/>
        <w:color w:val="000000"/>
        <w:sz w:val="16"/>
        <w:szCs w:val="16"/>
        <w:lang w:val="pt-BR"/>
      </w:rPr>
      <w:t xml:space="preserve"> – Telefone: (22) 2525-9100 – (22) 2525-9101</w:t>
    </w:r>
  </w:p>
  <w:p>
    <w:pPr>
      <w:pStyle w:val="12"/>
      <w:jc w:val="center"/>
      <w:rPr>
        <w:b/>
        <w:bCs/>
        <w:color w:val="000000"/>
        <w:sz w:val="16"/>
        <w:szCs w:val="16"/>
        <w:lang w:val="pt-BR"/>
      </w:rPr>
    </w:pPr>
  </w:p>
  <w:p>
    <w:pPr>
      <w:pStyle w:val="12"/>
      <w:jc w:val="right"/>
      <w:rPr>
        <w:sz w:val="20"/>
      </w:rPr>
    </w:pPr>
    <w:r>
      <w:rPr>
        <w:rFonts w:ascii="Azo Sans Lt" w:hAnsi="Azo Sans Lt"/>
        <w:b/>
        <w:bCs/>
        <w:color w:val="000000"/>
        <w:sz w:val="16"/>
        <w:szCs w:val="16"/>
        <w:lang w:val="pt-BR"/>
      </w:rPr>
      <w:t xml:space="preserve">Página </w:t>
    </w:r>
    <w:r>
      <w:rPr>
        <w:rFonts w:ascii="Azo Sans Lt" w:hAnsi="Azo Sans Lt"/>
        <w:b/>
        <w:bCs/>
        <w:color w:val="000000"/>
        <w:sz w:val="16"/>
        <w:szCs w:val="16"/>
      </w:rPr>
      <w:fldChar w:fldCharType="begin"/>
    </w:r>
    <w:r>
      <w:rPr>
        <w:rFonts w:ascii="Azo Sans Lt" w:hAnsi="Azo Sans Lt"/>
        <w:b/>
        <w:bCs/>
        <w:color w:val="000000"/>
        <w:sz w:val="16"/>
        <w:szCs w:val="16"/>
      </w:rPr>
      <w:instrText xml:space="preserve">PAGE  \* Arabic  \* MERGEFORMAT</w:instrText>
    </w:r>
    <w:r>
      <w:rPr>
        <w:rFonts w:ascii="Azo Sans Lt" w:hAnsi="Azo Sans Lt"/>
        <w:b/>
        <w:bCs/>
        <w:color w:val="000000"/>
        <w:sz w:val="16"/>
        <w:szCs w:val="16"/>
      </w:rPr>
      <w:fldChar w:fldCharType="separate"/>
    </w:r>
    <w:r>
      <w:rPr>
        <w:rFonts w:ascii="Azo Sans Lt" w:hAnsi="Azo Sans Lt"/>
        <w:b/>
        <w:bCs/>
        <w:color w:val="000000"/>
        <w:sz w:val="16"/>
        <w:szCs w:val="16"/>
      </w:rPr>
      <w:t>2</w:t>
    </w:r>
    <w:r>
      <w:rPr>
        <w:rFonts w:ascii="Azo Sans Lt" w:hAnsi="Azo Sans Lt"/>
        <w:b/>
        <w:bCs/>
        <w:color w:val="000000"/>
        <w:sz w:val="16"/>
        <w:szCs w:val="16"/>
      </w:rPr>
      <w:fldChar w:fldCharType="end"/>
    </w:r>
    <w:r>
      <w:rPr>
        <w:rFonts w:ascii="Azo Sans Lt" w:hAnsi="Azo Sans Lt"/>
        <w:b/>
        <w:bCs/>
        <w:color w:val="000000"/>
        <w:sz w:val="16"/>
        <w:szCs w:val="16"/>
        <w:lang w:val="pt-BR"/>
      </w:rPr>
      <w:t xml:space="preserve"> de </w:t>
    </w:r>
    <w:r>
      <w:rPr>
        <w:rFonts w:ascii="Azo Sans Lt" w:hAnsi="Azo Sans Lt"/>
        <w:b/>
        <w:bCs/>
        <w:color w:val="000000"/>
        <w:sz w:val="16"/>
        <w:szCs w:val="16"/>
      </w:rPr>
      <w:fldChar w:fldCharType="begin"/>
    </w:r>
    <w:r>
      <w:rPr>
        <w:rFonts w:ascii="Azo Sans Lt" w:hAnsi="Azo Sans Lt"/>
        <w:b/>
        <w:bCs/>
        <w:color w:val="000000"/>
        <w:sz w:val="16"/>
        <w:szCs w:val="16"/>
      </w:rPr>
      <w:instrText xml:space="preserve">NUMPAGES \ * Arábico \ * MERGEFORMAT</w:instrText>
    </w:r>
    <w:r>
      <w:rPr>
        <w:rFonts w:ascii="Azo Sans Lt" w:hAnsi="Azo Sans Lt"/>
        <w:b/>
        <w:bCs/>
        <w:color w:val="000000"/>
        <w:sz w:val="16"/>
        <w:szCs w:val="16"/>
      </w:rPr>
      <w:fldChar w:fldCharType="separate"/>
    </w:r>
    <w:r>
      <w:rPr>
        <w:rFonts w:ascii="Azo Sans Lt" w:hAnsi="Azo Sans Lt"/>
        <w:b/>
        <w:bCs/>
        <w:color w:val="000000"/>
        <w:sz w:val="16"/>
        <w:szCs w:val="16"/>
      </w:rPr>
      <w:t>5</w:t>
    </w:r>
    <w:r>
      <w:rPr>
        <w:rFonts w:ascii="Azo Sans Lt" w:hAnsi="Azo Sans Lt"/>
        <w:b/>
        <w:bCs/>
        <w:color w:val="000000"/>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left="-142"/>
      <w:rPr>
        <w:rFonts w:hint="default"/>
        <w:lang w:val="pt-BR"/>
      </w:rPr>
    </w:pPr>
    <w:r>
      <w:rPr>
        <w:rFonts w:hint="default"/>
        <w:lang w:val="pt-BR"/>
      </w:rPr>
      <w:drawing>
        <wp:inline distT="0" distB="0" distL="114300" distR="114300">
          <wp:extent cx="6626860" cy="1046480"/>
          <wp:effectExtent l="0" t="0" r="0" b="0"/>
          <wp:docPr id="1" name="Imagem 1" descr="Secretaria de Infraestrutura e Ob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Secretaria de Infraestrutura e Obras"/>
                  <pic:cNvPicPr>
                    <a:picLocks noChangeAspect="1"/>
                  </pic:cNvPicPr>
                </pic:nvPicPr>
                <pic:blipFill>
                  <a:blip r:embed="rId1"/>
                  <a:stretch>
                    <a:fillRect/>
                  </a:stretch>
                </pic:blipFill>
                <pic:spPr>
                  <a:xfrm>
                    <a:off x="0" y="0"/>
                    <a:ext cx="6626860" cy="1046480"/>
                  </a:xfrm>
                  <a:prstGeom prst="rect">
                    <a:avLst/>
                  </a:prstGeom>
                </pic:spPr>
              </pic:pic>
            </a:graphicData>
          </a:graphic>
        </wp:inline>
      </w:drawing>
    </w:r>
  </w:p>
  <w:p>
    <w:pPr>
      <w:pStyle w:val="1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651AA"/>
    <w:multiLevelType w:val="multilevel"/>
    <w:tmpl w:val="0C1651AA"/>
    <w:lvl w:ilvl="0" w:tentative="0">
      <w:start w:val="4"/>
      <w:numFmt w:val="decimal"/>
      <w:lvlText w:val="%1"/>
      <w:lvlJc w:val="left"/>
      <w:pPr>
        <w:ind w:left="262" w:hanging="468"/>
      </w:pPr>
      <w:rPr>
        <w:rFonts w:hint="default"/>
        <w:lang w:val="pt-PT" w:eastAsia="pt-PT" w:bidi="pt-PT"/>
      </w:rPr>
    </w:lvl>
    <w:lvl w:ilvl="1" w:tentative="0">
      <w:start w:val="1"/>
      <w:numFmt w:val="decimal"/>
      <w:pStyle w:val="36"/>
      <w:lvlText w:val="%1.%2"/>
      <w:lvlJc w:val="left"/>
      <w:pPr>
        <w:ind w:left="262" w:hanging="468"/>
      </w:pPr>
      <w:rPr>
        <w:rFonts w:hint="default" w:ascii="Tahoma" w:hAnsi="Tahoma" w:eastAsia="Tahoma" w:cs="Tahoma"/>
        <w:spacing w:val="0"/>
        <w:w w:val="112"/>
        <w:sz w:val="22"/>
        <w:szCs w:val="22"/>
        <w:lang w:val="pt-PT" w:eastAsia="pt-PT" w:bidi="pt-PT"/>
      </w:rPr>
    </w:lvl>
    <w:lvl w:ilvl="2" w:tentative="0">
      <w:start w:val="0"/>
      <w:numFmt w:val="bullet"/>
      <w:lvlText w:val="•"/>
      <w:lvlJc w:val="left"/>
      <w:pPr>
        <w:ind w:left="2185" w:hanging="468"/>
      </w:pPr>
      <w:rPr>
        <w:rFonts w:hint="default"/>
        <w:lang w:val="pt-PT" w:eastAsia="pt-PT" w:bidi="pt-PT"/>
      </w:rPr>
    </w:lvl>
    <w:lvl w:ilvl="3" w:tentative="0">
      <w:start w:val="0"/>
      <w:numFmt w:val="bullet"/>
      <w:lvlText w:val="•"/>
      <w:lvlJc w:val="left"/>
      <w:pPr>
        <w:ind w:left="3147" w:hanging="468"/>
      </w:pPr>
      <w:rPr>
        <w:rFonts w:hint="default"/>
        <w:lang w:val="pt-PT" w:eastAsia="pt-PT" w:bidi="pt-PT"/>
      </w:rPr>
    </w:lvl>
    <w:lvl w:ilvl="4" w:tentative="0">
      <w:start w:val="0"/>
      <w:numFmt w:val="bullet"/>
      <w:lvlText w:val="•"/>
      <w:lvlJc w:val="left"/>
      <w:pPr>
        <w:ind w:left="4110" w:hanging="468"/>
      </w:pPr>
      <w:rPr>
        <w:rFonts w:hint="default"/>
        <w:lang w:val="pt-PT" w:eastAsia="pt-PT" w:bidi="pt-PT"/>
      </w:rPr>
    </w:lvl>
    <w:lvl w:ilvl="5" w:tentative="0">
      <w:start w:val="0"/>
      <w:numFmt w:val="bullet"/>
      <w:lvlText w:val="•"/>
      <w:lvlJc w:val="left"/>
      <w:pPr>
        <w:ind w:left="5073" w:hanging="468"/>
      </w:pPr>
      <w:rPr>
        <w:rFonts w:hint="default"/>
        <w:lang w:val="pt-PT" w:eastAsia="pt-PT" w:bidi="pt-PT"/>
      </w:rPr>
    </w:lvl>
    <w:lvl w:ilvl="6" w:tentative="0">
      <w:start w:val="0"/>
      <w:numFmt w:val="bullet"/>
      <w:lvlText w:val="•"/>
      <w:lvlJc w:val="left"/>
      <w:pPr>
        <w:ind w:left="6035" w:hanging="468"/>
      </w:pPr>
      <w:rPr>
        <w:rFonts w:hint="default"/>
        <w:lang w:val="pt-PT" w:eastAsia="pt-PT" w:bidi="pt-PT"/>
      </w:rPr>
    </w:lvl>
    <w:lvl w:ilvl="7" w:tentative="0">
      <w:start w:val="0"/>
      <w:numFmt w:val="bullet"/>
      <w:lvlText w:val="•"/>
      <w:lvlJc w:val="left"/>
      <w:pPr>
        <w:ind w:left="6998" w:hanging="468"/>
      </w:pPr>
      <w:rPr>
        <w:rFonts w:hint="default"/>
        <w:lang w:val="pt-PT" w:eastAsia="pt-PT" w:bidi="pt-PT"/>
      </w:rPr>
    </w:lvl>
    <w:lvl w:ilvl="8" w:tentative="0">
      <w:start w:val="0"/>
      <w:numFmt w:val="bullet"/>
      <w:lvlText w:val="•"/>
      <w:lvlJc w:val="left"/>
      <w:pPr>
        <w:ind w:left="7961" w:hanging="468"/>
      </w:pPr>
      <w:rPr>
        <w:rFonts w:hint="default"/>
        <w:lang w:val="pt-PT" w:eastAsia="pt-PT" w:bidi="pt-PT"/>
      </w:rPr>
    </w:lvl>
  </w:abstractNum>
  <w:abstractNum w:abstractNumId="1">
    <w:nsid w:val="11983857"/>
    <w:multiLevelType w:val="multilevel"/>
    <w:tmpl w:val="11983857"/>
    <w:lvl w:ilvl="0" w:tentative="0">
      <w:start w:val="1"/>
      <w:numFmt w:val="decimal"/>
      <w:lvlText w:val="%1."/>
      <w:lvlJc w:val="left"/>
      <w:pPr>
        <w:ind w:left="360" w:hanging="360"/>
      </w:pPr>
      <w:rPr>
        <w:b/>
        <w:color w:val="auto"/>
      </w:rPr>
    </w:lvl>
    <w:lvl w:ilvl="1" w:tentative="0">
      <w:start w:val="1"/>
      <w:numFmt w:val="decimal"/>
      <w:lvlText w:val="%1.%2."/>
      <w:lvlJc w:val="left"/>
      <w:pPr>
        <w:ind w:left="1283" w:hanging="432"/>
      </w:pPr>
      <w:rPr>
        <w:sz w:val="20"/>
        <w:szCs w:val="20"/>
      </w:rPr>
    </w:lvl>
    <w:lvl w:ilvl="2" w:tentative="0">
      <w:start w:val="1"/>
      <w:numFmt w:val="decimal"/>
      <w:lvlText w:val="%1.%2.%3."/>
      <w:lvlJc w:val="left"/>
      <w:pPr>
        <w:ind w:left="1497" w:hanging="504"/>
      </w:pPr>
    </w:lvl>
    <w:lvl w:ilvl="3" w:tentative="0">
      <w:start w:val="1"/>
      <w:numFmt w:val="decimal"/>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attachedTemplate r:id="rId1"/>
  <w:documentProtection w:enforcement="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14C"/>
    <w:rsid w:val="000165E7"/>
    <w:rsid w:val="00020E4F"/>
    <w:rsid w:val="00021F75"/>
    <w:rsid w:val="0002401F"/>
    <w:rsid w:val="00031A7D"/>
    <w:rsid w:val="00033DF7"/>
    <w:rsid w:val="000360D8"/>
    <w:rsid w:val="00046C2A"/>
    <w:rsid w:val="000565B1"/>
    <w:rsid w:val="00056811"/>
    <w:rsid w:val="00063A38"/>
    <w:rsid w:val="0007261B"/>
    <w:rsid w:val="00072887"/>
    <w:rsid w:val="0009398B"/>
    <w:rsid w:val="000A7D09"/>
    <w:rsid w:val="000D67C1"/>
    <w:rsid w:val="000E7E96"/>
    <w:rsid w:val="000F3C78"/>
    <w:rsid w:val="001145B4"/>
    <w:rsid w:val="00117BE2"/>
    <w:rsid w:val="001276AE"/>
    <w:rsid w:val="0013739A"/>
    <w:rsid w:val="00140A02"/>
    <w:rsid w:val="00146622"/>
    <w:rsid w:val="00151BFC"/>
    <w:rsid w:val="00173724"/>
    <w:rsid w:val="00174F06"/>
    <w:rsid w:val="001927EC"/>
    <w:rsid w:val="00192D93"/>
    <w:rsid w:val="001D0DD0"/>
    <w:rsid w:val="001D3C11"/>
    <w:rsid w:val="00210A6E"/>
    <w:rsid w:val="00220CFF"/>
    <w:rsid w:val="00222878"/>
    <w:rsid w:val="00227ABE"/>
    <w:rsid w:val="00231572"/>
    <w:rsid w:val="002522C0"/>
    <w:rsid w:val="00254AEC"/>
    <w:rsid w:val="002646B1"/>
    <w:rsid w:val="0027589D"/>
    <w:rsid w:val="00283785"/>
    <w:rsid w:val="0029067C"/>
    <w:rsid w:val="00294B42"/>
    <w:rsid w:val="002C33C5"/>
    <w:rsid w:val="002C54DB"/>
    <w:rsid w:val="002D4BD7"/>
    <w:rsid w:val="002F6AF3"/>
    <w:rsid w:val="0030692C"/>
    <w:rsid w:val="00325850"/>
    <w:rsid w:val="003362CB"/>
    <w:rsid w:val="00357292"/>
    <w:rsid w:val="00361040"/>
    <w:rsid w:val="00363DBE"/>
    <w:rsid w:val="003668FA"/>
    <w:rsid w:val="00371824"/>
    <w:rsid w:val="003A03F0"/>
    <w:rsid w:val="003A7FCD"/>
    <w:rsid w:val="003B07D1"/>
    <w:rsid w:val="003C1E80"/>
    <w:rsid w:val="003C37D5"/>
    <w:rsid w:val="003C6CAA"/>
    <w:rsid w:val="003D7933"/>
    <w:rsid w:val="003E2121"/>
    <w:rsid w:val="003E55C7"/>
    <w:rsid w:val="003E74E9"/>
    <w:rsid w:val="004025E1"/>
    <w:rsid w:val="004106B7"/>
    <w:rsid w:val="0042462B"/>
    <w:rsid w:val="00427D40"/>
    <w:rsid w:val="00456053"/>
    <w:rsid w:val="004778B7"/>
    <w:rsid w:val="00477DBE"/>
    <w:rsid w:val="00486A12"/>
    <w:rsid w:val="004A60DF"/>
    <w:rsid w:val="004A66AF"/>
    <w:rsid w:val="004D27CF"/>
    <w:rsid w:val="004F088D"/>
    <w:rsid w:val="004F2152"/>
    <w:rsid w:val="00523778"/>
    <w:rsid w:val="00524580"/>
    <w:rsid w:val="00534467"/>
    <w:rsid w:val="005364AF"/>
    <w:rsid w:val="00552F31"/>
    <w:rsid w:val="005834A7"/>
    <w:rsid w:val="00584F37"/>
    <w:rsid w:val="005872B0"/>
    <w:rsid w:val="00587920"/>
    <w:rsid w:val="005A4B68"/>
    <w:rsid w:val="005B1825"/>
    <w:rsid w:val="005B2A1F"/>
    <w:rsid w:val="005B6C47"/>
    <w:rsid w:val="005C1816"/>
    <w:rsid w:val="005D3CB1"/>
    <w:rsid w:val="005E1AC4"/>
    <w:rsid w:val="005E2256"/>
    <w:rsid w:val="005E3A3F"/>
    <w:rsid w:val="005E4E7B"/>
    <w:rsid w:val="005E7711"/>
    <w:rsid w:val="0060269C"/>
    <w:rsid w:val="006109F2"/>
    <w:rsid w:val="0062773F"/>
    <w:rsid w:val="00636330"/>
    <w:rsid w:val="00641993"/>
    <w:rsid w:val="006454CC"/>
    <w:rsid w:val="00650BD9"/>
    <w:rsid w:val="0065546F"/>
    <w:rsid w:val="00657BFF"/>
    <w:rsid w:val="006722B2"/>
    <w:rsid w:val="00676BCE"/>
    <w:rsid w:val="00686001"/>
    <w:rsid w:val="00694AF7"/>
    <w:rsid w:val="006A2FF5"/>
    <w:rsid w:val="006A6755"/>
    <w:rsid w:val="006B37AE"/>
    <w:rsid w:val="006C7B2A"/>
    <w:rsid w:val="006D322B"/>
    <w:rsid w:val="006D46F6"/>
    <w:rsid w:val="006E0E27"/>
    <w:rsid w:val="0070479D"/>
    <w:rsid w:val="007062C3"/>
    <w:rsid w:val="00714B7D"/>
    <w:rsid w:val="0072334E"/>
    <w:rsid w:val="00730275"/>
    <w:rsid w:val="00731C95"/>
    <w:rsid w:val="00762010"/>
    <w:rsid w:val="0078214C"/>
    <w:rsid w:val="00783BF7"/>
    <w:rsid w:val="007B3B91"/>
    <w:rsid w:val="007C2435"/>
    <w:rsid w:val="007E4FE8"/>
    <w:rsid w:val="007F0013"/>
    <w:rsid w:val="007F0CEA"/>
    <w:rsid w:val="007F6128"/>
    <w:rsid w:val="0080423D"/>
    <w:rsid w:val="00804D4D"/>
    <w:rsid w:val="00811BF4"/>
    <w:rsid w:val="00820644"/>
    <w:rsid w:val="00833D90"/>
    <w:rsid w:val="0083419E"/>
    <w:rsid w:val="00867CD9"/>
    <w:rsid w:val="00880C5C"/>
    <w:rsid w:val="008828A9"/>
    <w:rsid w:val="00896E85"/>
    <w:rsid w:val="008B4AA2"/>
    <w:rsid w:val="008D0D8E"/>
    <w:rsid w:val="008D1550"/>
    <w:rsid w:val="008D4A7E"/>
    <w:rsid w:val="008F2EA3"/>
    <w:rsid w:val="00906850"/>
    <w:rsid w:val="00917AD7"/>
    <w:rsid w:val="009265AA"/>
    <w:rsid w:val="00942887"/>
    <w:rsid w:val="00945968"/>
    <w:rsid w:val="00946A09"/>
    <w:rsid w:val="00965058"/>
    <w:rsid w:val="00967610"/>
    <w:rsid w:val="009743E8"/>
    <w:rsid w:val="00982C42"/>
    <w:rsid w:val="00982FA4"/>
    <w:rsid w:val="009A3922"/>
    <w:rsid w:val="009A7771"/>
    <w:rsid w:val="009F5FE7"/>
    <w:rsid w:val="00A0088A"/>
    <w:rsid w:val="00A02818"/>
    <w:rsid w:val="00A04277"/>
    <w:rsid w:val="00A052D8"/>
    <w:rsid w:val="00A136AA"/>
    <w:rsid w:val="00A13CF0"/>
    <w:rsid w:val="00A15A65"/>
    <w:rsid w:val="00A40BB9"/>
    <w:rsid w:val="00A40F3E"/>
    <w:rsid w:val="00A53E15"/>
    <w:rsid w:val="00A54A34"/>
    <w:rsid w:val="00A64CAD"/>
    <w:rsid w:val="00A72B37"/>
    <w:rsid w:val="00A76C84"/>
    <w:rsid w:val="00A80833"/>
    <w:rsid w:val="00A851BF"/>
    <w:rsid w:val="00A855CA"/>
    <w:rsid w:val="00A9048D"/>
    <w:rsid w:val="00A94A34"/>
    <w:rsid w:val="00AA4F4D"/>
    <w:rsid w:val="00AB164D"/>
    <w:rsid w:val="00AB7B10"/>
    <w:rsid w:val="00AC0DA8"/>
    <w:rsid w:val="00AC3792"/>
    <w:rsid w:val="00AC6678"/>
    <w:rsid w:val="00AE2544"/>
    <w:rsid w:val="00AF7A61"/>
    <w:rsid w:val="00B118A2"/>
    <w:rsid w:val="00B13988"/>
    <w:rsid w:val="00B212E1"/>
    <w:rsid w:val="00B252DB"/>
    <w:rsid w:val="00B4092E"/>
    <w:rsid w:val="00B427F9"/>
    <w:rsid w:val="00B5541E"/>
    <w:rsid w:val="00B56B2E"/>
    <w:rsid w:val="00B65915"/>
    <w:rsid w:val="00B93AF2"/>
    <w:rsid w:val="00BD7A43"/>
    <w:rsid w:val="00BD7E45"/>
    <w:rsid w:val="00BF1F9A"/>
    <w:rsid w:val="00BF5FEB"/>
    <w:rsid w:val="00C013FA"/>
    <w:rsid w:val="00C03D23"/>
    <w:rsid w:val="00C15061"/>
    <w:rsid w:val="00C27D9D"/>
    <w:rsid w:val="00C40F35"/>
    <w:rsid w:val="00C53052"/>
    <w:rsid w:val="00C60F03"/>
    <w:rsid w:val="00C800AA"/>
    <w:rsid w:val="00C84FE9"/>
    <w:rsid w:val="00C93900"/>
    <w:rsid w:val="00CA6B5D"/>
    <w:rsid w:val="00CB7387"/>
    <w:rsid w:val="00CE7C3F"/>
    <w:rsid w:val="00D03088"/>
    <w:rsid w:val="00D03985"/>
    <w:rsid w:val="00D054D8"/>
    <w:rsid w:val="00D21DA2"/>
    <w:rsid w:val="00D37AF7"/>
    <w:rsid w:val="00D55B0E"/>
    <w:rsid w:val="00D67D72"/>
    <w:rsid w:val="00D83F68"/>
    <w:rsid w:val="00DA41C4"/>
    <w:rsid w:val="00DA68D2"/>
    <w:rsid w:val="00DB07C9"/>
    <w:rsid w:val="00DD35BD"/>
    <w:rsid w:val="00DD5F4F"/>
    <w:rsid w:val="00E01C9F"/>
    <w:rsid w:val="00E02F92"/>
    <w:rsid w:val="00E22A98"/>
    <w:rsid w:val="00E23508"/>
    <w:rsid w:val="00E2674F"/>
    <w:rsid w:val="00E27D79"/>
    <w:rsid w:val="00E31495"/>
    <w:rsid w:val="00E4245A"/>
    <w:rsid w:val="00E71A1D"/>
    <w:rsid w:val="00E758F0"/>
    <w:rsid w:val="00E87C42"/>
    <w:rsid w:val="00E949C6"/>
    <w:rsid w:val="00E95B03"/>
    <w:rsid w:val="00EA18A7"/>
    <w:rsid w:val="00EB6462"/>
    <w:rsid w:val="00EC0EE5"/>
    <w:rsid w:val="00F0117C"/>
    <w:rsid w:val="00F06D59"/>
    <w:rsid w:val="00F115BB"/>
    <w:rsid w:val="00F134F9"/>
    <w:rsid w:val="00F261DA"/>
    <w:rsid w:val="00F4363D"/>
    <w:rsid w:val="00F4455E"/>
    <w:rsid w:val="00F512BB"/>
    <w:rsid w:val="00F70E6C"/>
    <w:rsid w:val="00FB4A47"/>
    <w:rsid w:val="00FC1494"/>
    <w:rsid w:val="00FC20C4"/>
    <w:rsid w:val="00FC347B"/>
    <w:rsid w:val="00FC79EC"/>
    <w:rsid w:val="061051B5"/>
    <w:rsid w:val="08396176"/>
    <w:rsid w:val="0BE135FD"/>
    <w:rsid w:val="1D9A1422"/>
    <w:rsid w:val="1ED10A78"/>
    <w:rsid w:val="2C8C28C3"/>
    <w:rsid w:val="379A5FE0"/>
    <w:rsid w:val="429F48BB"/>
    <w:rsid w:val="4579347A"/>
    <w:rsid w:val="56C67A23"/>
    <w:rsid w:val="6DEB43C3"/>
    <w:rsid w:val="6EB13B6C"/>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qFormat="1" w:unhideWhenUsed="0" w:uiPriority="1" w:semiHidden="0" w:name="No Spacing"/>
    <w:lsdException w:qFormat="1" w:unhideWhenUsed="0" w:uiPriority="1" w:semiHidden="0" w:name="List Paragraph"/>
  </w:latentStyles>
  <w:style w:type="paragraph" w:default="1" w:styleId="1">
    <w:name w:val="Normal"/>
    <w:qFormat/>
    <w:uiPriority w:val="0"/>
    <w:pPr>
      <w:widowControl w:val="0"/>
      <w:autoSpaceDE w:val="0"/>
      <w:autoSpaceDN w:val="0"/>
    </w:pPr>
    <w:rPr>
      <w:rFonts w:ascii="Tahoma" w:hAnsi="Tahoma" w:eastAsia="Tahoma" w:cs="Tahoma"/>
      <w:sz w:val="22"/>
      <w:szCs w:val="22"/>
      <w:lang w:val="pt-PT" w:eastAsia="pt-PT" w:bidi="pt-PT"/>
    </w:rPr>
  </w:style>
  <w:style w:type="paragraph" w:styleId="2">
    <w:name w:val="heading 1"/>
    <w:basedOn w:val="1"/>
    <w:next w:val="1"/>
    <w:qFormat/>
    <w:uiPriority w:val="9"/>
    <w:pPr>
      <w:ind w:left="468" w:hanging="207"/>
      <w:outlineLvl w:val="0"/>
    </w:pPr>
    <w:rPr>
      <w:rFonts w:ascii="Gill Sans MT" w:hAnsi="Gill Sans MT" w:eastAsia="Gill Sans MT" w:cs="Gill Sans MT"/>
      <w:b/>
      <w:bCs/>
      <w:u w:val="single" w:color="000000"/>
    </w:rPr>
  </w:style>
  <w:style w:type="paragraph" w:styleId="3">
    <w:name w:val="heading 8"/>
    <w:basedOn w:val="1"/>
    <w:next w:val="1"/>
    <w:link w:val="19"/>
    <w:unhideWhenUsed/>
    <w:qFormat/>
    <w:uiPriority w:val="9"/>
    <w:pPr>
      <w:keepNext/>
      <w:keepLines/>
      <w:spacing w:before="40"/>
      <w:outlineLvl w:val="7"/>
    </w:pPr>
    <w:rPr>
      <w:rFonts w:ascii="Cambria" w:hAnsi="Cambria" w:eastAsia="Times New Roman" w:cs="Times New Roman"/>
      <w:color w:val="272727"/>
      <w:sz w:val="21"/>
      <w:szCs w:val="21"/>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character" w:styleId="6">
    <w:name w:val="annotation reference"/>
    <w:basedOn w:val="4"/>
    <w:semiHidden/>
    <w:unhideWhenUsed/>
    <w:qFormat/>
    <w:uiPriority w:val="0"/>
    <w:rPr>
      <w:sz w:val="16"/>
      <w:szCs w:val="16"/>
    </w:rPr>
  </w:style>
  <w:style w:type="character" w:styleId="7">
    <w:name w:val="FollowedHyperlink"/>
    <w:basedOn w:val="4"/>
    <w:semiHidden/>
    <w:unhideWhenUsed/>
    <w:qFormat/>
    <w:uiPriority w:val="99"/>
    <w:rPr>
      <w:color w:val="954F72" w:themeColor="followedHyperlink"/>
      <w:u w:val="single"/>
      <w14:textFill>
        <w14:solidFill>
          <w14:schemeClr w14:val="folHlink"/>
        </w14:solidFill>
      </w14:textFill>
    </w:rPr>
  </w:style>
  <w:style w:type="character" w:styleId="8">
    <w:name w:val="Hyperlink"/>
    <w:unhideWhenUsed/>
    <w:qFormat/>
    <w:uiPriority w:val="99"/>
    <w:rPr>
      <w:color w:val="0000FF"/>
      <w:u w:val="single"/>
    </w:rPr>
  </w:style>
  <w:style w:type="paragraph" w:styleId="9">
    <w:name w:val="Body Text"/>
    <w:basedOn w:val="1"/>
    <w:qFormat/>
    <w:uiPriority w:val="1"/>
  </w:style>
  <w:style w:type="paragraph" w:styleId="10">
    <w:name w:val="annotation text"/>
    <w:basedOn w:val="1"/>
    <w:link w:val="35"/>
    <w:unhideWhenUsed/>
    <w:qFormat/>
    <w:uiPriority w:val="0"/>
    <w:pPr>
      <w:widowControl/>
      <w:autoSpaceDE/>
      <w:autoSpaceDN/>
    </w:pPr>
    <w:rPr>
      <w:rFonts w:ascii="Ecofont_Spranq_eco_Sans" w:hAnsi="Ecofont_Spranq_eco_Sans" w:eastAsia="Times New Roman"/>
      <w:sz w:val="20"/>
      <w:szCs w:val="20"/>
      <w:lang w:val="pt-BR" w:eastAsia="pt-BR" w:bidi="ar-SA"/>
    </w:rPr>
  </w:style>
  <w:style w:type="paragraph" w:styleId="11">
    <w:name w:val="header"/>
    <w:basedOn w:val="1"/>
    <w:link w:val="17"/>
    <w:unhideWhenUsed/>
    <w:qFormat/>
    <w:uiPriority w:val="0"/>
    <w:pPr>
      <w:tabs>
        <w:tab w:val="center" w:pos="4252"/>
        <w:tab w:val="right" w:pos="8504"/>
      </w:tabs>
    </w:pPr>
  </w:style>
  <w:style w:type="paragraph" w:styleId="12">
    <w:name w:val="footer"/>
    <w:basedOn w:val="1"/>
    <w:link w:val="18"/>
    <w:unhideWhenUsed/>
    <w:qFormat/>
    <w:uiPriority w:val="99"/>
    <w:pPr>
      <w:tabs>
        <w:tab w:val="center" w:pos="4252"/>
        <w:tab w:val="right" w:pos="8504"/>
      </w:tabs>
    </w:pPr>
  </w:style>
  <w:style w:type="paragraph" w:styleId="13">
    <w:name w:val="Balloon Text"/>
    <w:basedOn w:val="1"/>
    <w:link w:val="24"/>
    <w:semiHidden/>
    <w:unhideWhenUsed/>
    <w:qFormat/>
    <w:uiPriority w:val="99"/>
    <w:rPr>
      <w:rFonts w:ascii="Segoe UI" w:hAnsi="Segoe UI" w:cs="Segoe UI"/>
      <w:sz w:val="18"/>
      <w:szCs w:val="18"/>
    </w:rPr>
  </w:style>
  <w:style w:type="table" w:customStyle="1" w:styleId="14">
    <w:name w:val="Table Normal"/>
    <w:semiHidden/>
    <w:unhideWhenUsed/>
    <w:qFormat/>
    <w:uiPriority w:val="2"/>
    <w:pPr>
      <w:widowControl w:val="0"/>
      <w:autoSpaceDE w:val="0"/>
      <w:autoSpaceDN w:val="0"/>
    </w:pPr>
    <w:rPr>
      <w:sz w:val="22"/>
      <w:szCs w:val="22"/>
      <w:lang w:val="en-US" w:eastAsia="en-US"/>
    </w:rPr>
    <w:tblPr>
      <w:tblCellMar>
        <w:top w:w="0" w:type="dxa"/>
        <w:left w:w="0" w:type="dxa"/>
        <w:bottom w:w="0" w:type="dxa"/>
        <w:right w:w="0" w:type="dxa"/>
      </w:tblCellMar>
    </w:tblPr>
  </w:style>
  <w:style w:type="paragraph" w:styleId="15">
    <w:name w:val="List Paragraph"/>
    <w:basedOn w:val="1"/>
    <w:qFormat/>
    <w:uiPriority w:val="1"/>
    <w:pPr>
      <w:spacing w:before="233"/>
      <w:ind w:left="262"/>
      <w:jc w:val="both"/>
    </w:pPr>
  </w:style>
  <w:style w:type="paragraph" w:customStyle="1" w:styleId="16">
    <w:name w:val="Table Paragraph"/>
    <w:basedOn w:val="1"/>
    <w:qFormat/>
    <w:uiPriority w:val="1"/>
    <w:rPr>
      <w:rFonts w:ascii="Gill Sans MT" w:hAnsi="Gill Sans MT" w:eastAsia="Gill Sans MT" w:cs="Gill Sans MT"/>
    </w:rPr>
  </w:style>
  <w:style w:type="character" w:customStyle="1" w:styleId="17">
    <w:name w:val="Cabeçalho Char"/>
    <w:link w:val="11"/>
    <w:qFormat/>
    <w:uiPriority w:val="0"/>
    <w:rPr>
      <w:rFonts w:ascii="Tahoma" w:hAnsi="Tahoma" w:eastAsia="Tahoma" w:cs="Tahoma"/>
      <w:lang w:val="pt-PT" w:eastAsia="pt-PT" w:bidi="pt-PT"/>
    </w:rPr>
  </w:style>
  <w:style w:type="character" w:customStyle="1" w:styleId="18">
    <w:name w:val="Rodapé Char"/>
    <w:link w:val="12"/>
    <w:qFormat/>
    <w:uiPriority w:val="99"/>
    <w:rPr>
      <w:rFonts w:ascii="Tahoma" w:hAnsi="Tahoma" w:eastAsia="Tahoma" w:cs="Tahoma"/>
      <w:lang w:val="pt-PT" w:eastAsia="pt-PT" w:bidi="pt-PT"/>
    </w:rPr>
  </w:style>
  <w:style w:type="character" w:customStyle="1" w:styleId="19">
    <w:name w:val="Título 8 Char"/>
    <w:link w:val="3"/>
    <w:qFormat/>
    <w:uiPriority w:val="9"/>
    <w:rPr>
      <w:rFonts w:ascii="Cambria" w:hAnsi="Cambria" w:eastAsia="Times New Roman" w:cs="Times New Roman"/>
      <w:color w:val="272727"/>
      <w:sz w:val="21"/>
      <w:szCs w:val="21"/>
      <w:lang w:val="pt-PT" w:eastAsia="pt-PT" w:bidi="pt-PT"/>
    </w:rPr>
  </w:style>
  <w:style w:type="paragraph" w:styleId="20">
    <w:name w:val="No Spacing"/>
    <w:link w:val="21"/>
    <w:qFormat/>
    <w:uiPriority w:val="1"/>
    <w:rPr>
      <w:rFonts w:ascii="Calibri" w:hAnsi="Calibri" w:eastAsia="Calibri" w:cs="Times New Roman"/>
      <w:sz w:val="22"/>
      <w:szCs w:val="22"/>
      <w:lang w:val="pt-BR" w:eastAsia="en-US" w:bidi="ar-SA"/>
    </w:rPr>
  </w:style>
  <w:style w:type="character" w:customStyle="1" w:styleId="21">
    <w:name w:val="Sem Espaçamento Char"/>
    <w:link w:val="20"/>
    <w:qFormat/>
    <w:uiPriority w:val="1"/>
    <w:rPr>
      <w:rFonts w:ascii="Calibri" w:hAnsi="Calibri" w:eastAsia="Calibri" w:cs="Times New Roman"/>
      <w:lang w:val="pt-BR"/>
    </w:rPr>
  </w:style>
  <w:style w:type="paragraph" w:customStyle="1" w:styleId="22">
    <w:name w:val="Nivel1"/>
    <w:basedOn w:val="2"/>
    <w:next w:val="1"/>
    <w:link w:val="23"/>
    <w:qFormat/>
    <w:uiPriority w:val="0"/>
    <w:pPr>
      <w:keepNext/>
      <w:keepLines/>
      <w:adjustRightInd w:val="0"/>
      <w:spacing w:before="480" w:after="120" w:line="276" w:lineRule="auto"/>
      <w:ind w:left="360" w:hanging="360"/>
      <w:jc w:val="both"/>
    </w:pPr>
    <w:rPr>
      <w:rFonts w:ascii="Arial" w:hAnsi="Arial" w:eastAsia="Times New Roman" w:cs="Arial"/>
      <w:sz w:val="20"/>
      <w:szCs w:val="20"/>
      <w:u w:val="none"/>
      <w:lang w:val="pt-BR" w:eastAsia="pt-BR" w:bidi="ar-SA"/>
    </w:rPr>
  </w:style>
  <w:style w:type="character" w:customStyle="1" w:styleId="23">
    <w:name w:val="Nivel1 Char"/>
    <w:link w:val="22"/>
    <w:qFormat/>
    <w:uiPriority w:val="0"/>
    <w:rPr>
      <w:rFonts w:ascii="Arial" w:hAnsi="Arial" w:eastAsia="Times New Roman" w:cs="Arial"/>
      <w:b/>
      <w:bCs/>
      <w:sz w:val="20"/>
      <w:szCs w:val="20"/>
      <w:lang w:val="pt-BR" w:eastAsia="pt-BR"/>
    </w:rPr>
  </w:style>
  <w:style w:type="character" w:customStyle="1" w:styleId="24">
    <w:name w:val="Texto de balão Char"/>
    <w:basedOn w:val="4"/>
    <w:link w:val="13"/>
    <w:semiHidden/>
    <w:qFormat/>
    <w:uiPriority w:val="99"/>
    <w:rPr>
      <w:rFonts w:ascii="Segoe UI" w:hAnsi="Segoe UI" w:eastAsia="Tahoma" w:cs="Segoe UI"/>
      <w:sz w:val="18"/>
      <w:szCs w:val="18"/>
      <w:lang w:val="pt-PT" w:eastAsia="pt-PT" w:bidi="pt-PT"/>
    </w:rPr>
  </w:style>
  <w:style w:type="paragraph" w:customStyle="1" w:styleId="25">
    <w:name w:val="Parágrafo da Lista1"/>
    <w:basedOn w:val="1"/>
    <w:qFormat/>
    <w:uiPriority w:val="0"/>
    <w:pPr>
      <w:widowControl/>
      <w:suppressAutoHyphens/>
      <w:autoSpaceDE/>
      <w:autoSpaceDN/>
      <w:ind w:left="720"/>
      <w:contextualSpacing/>
    </w:pPr>
    <w:rPr>
      <w:rFonts w:ascii="Times New Roman" w:hAnsi="Times New Roman" w:eastAsia="Times New Roman" w:cs="Times New Roman"/>
      <w:color w:val="00000A"/>
      <w:sz w:val="24"/>
      <w:szCs w:val="24"/>
      <w:lang w:val="pt-BR" w:eastAsia="pt-BR" w:bidi="ar-SA"/>
    </w:rPr>
  </w:style>
  <w:style w:type="character" w:customStyle="1" w:styleId="26">
    <w:name w:val="Unresolved Mention"/>
    <w:basedOn w:val="4"/>
    <w:semiHidden/>
    <w:unhideWhenUsed/>
    <w:qFormat/>
    <w:uiPriority w:val="99"/>
    <w:rPr>
      <w:color w:val="605E5C"/>
      <w:shd w:val="clear" w:color="auto" w:fill="E1DFDD"/>
    </w:rPr>
  </w:style>
  <w:style w:type="paragraph" w:customStyle="1" w:styleId="27">
    <w:name w:val="Nivel 01"/>
    <w:basedOn w:val="2"/>
    <w:next w:val="1"/>
    <w:qFormat/>
    <w:uiPriority w:val="0"/>
    <w:pPr>
      <w:keepNext/>
      <w:keepLines/>
      <w:widowControl/>
      <w:tabs>
        <w:tab w:val="left" w:pos="567"/>
      </w:tabs>
      <w:autoSpaceDE/>
      <w:autoSpaceDN/>
      <w:spacing w:before="120" w:after="120" w:line="276" w:lineRule="auto"/>
      <w:ind w:left="0" w:firstLine="0"/>
      <w:jc w:val="both"/>
    </w:pPr>
    <w:rPr>
      <w:rFonts w:ascii="Arial" w:hAnsi="Arial" w:cs="Arial" w:eastAsiaTheme="majorEastAsia"/>
      <w:sz w:val="20"/>
      <w:szCs w:val="20"/>
      <w:u w:val="none"/>
      <w:lang w:val="pt-BR" w:eastAsia="en-US" w:bidi="ar-SA"/>
    </w:rPr>
  </w:style>
  <w:style w:type="paragraph" w:customStyle="1" w:styleId="28">
    <w:name w:val="Nivel 2"/>
    <w:basedOn w:val="1"/>
    <w:link w:val="29"/>
    <w:qFormat/>
    <w:uiPriority w:val="0"/>
    <w:pPr>
      <w:widowControl/>
      <w:adjustRightInd w:val="0"/>
      <w:spacing w:before="120" w:after="120" w:line="276" w:lineRule="auto"/>
      <w:jc w:val="both"/>
    </w:pPr>
    <w:rPr>
      <w:rFonts w:ascii="Arial" w:hAnsi="Arial" w:eastAsia="Times New Roman" w:cs="Arial"/>
      <w:sz w:val="20"/>
      <w:szCs w:val="20"/>
      <w:lang w:val="pt-BR" w:eastAsia="pt-BR" w:bidi="ar-SA"/>
    </w:rPr>
  </w:style>
  <w:style w:type="character" w:customStyle="1" w:styleId="29">
    <w:name w:val="Nivel 2 Char"/>
    <w:basedOn w:val="4"/>
    <w:link w:val="28"/>
    <w:qFormat/>
    <w:locked/>
    <w:uiPriority w:val="0"/>
    <w:rPr>
      <w:rFonts w:ascii="Arial" w:hAnsi="Arial" w:eastAsia="Times New Roman" w:cs="Arial"/>
    </w:rPr>
  </w:style>
  <w:style w:type="paragraph" w:customStyle="1" w:styleId="30">
    <w:name w:val="Nível 3-R"/>
    <w:basedOn w:val="1"/>
    <w:link w:val="40"/>
    <w:qFormat/>
    <w:uiPriority w:val="0"/>
    <w:pPr>
      <w:widowControl/>
      <w:autoSpaceDE/>
      <w:autoSpaceDN/>
      <w:spacing w:before="120" w:after="120" w:line="276" w:lineRule="auto"/>
      <w:ind w:left="284"/>
      <w:jc w:val="both"/>
    </w:pPr>
    <w:rPr>
      <w:rFonts w:ascii="Arial" w:hAnsi="Arial" w:cs="Arial" w:eastAsiaTheme="minorEastAsia"/>
      <w:i/>
      <w:iCs/>
      <w:color w:val="FF0000"/>
      <w:sz w:val="20"/>
      <w:szCs w:val="20"/>
      <w:lang w:val="pt-BR" w:eastAsia="pt-BR" w:bidi="ar-SA"/>
    </w:rPr>
  </w:style>
  <w:style w:type="paragraph" w:customStyle="1" w:styleId="31">
    <w:name w:val="Nível 3"/>
    <w:basedOn w:val="30"/>
    <w:link w:val="33"/>
    <w:qFormat/>
    <w:uiPriority w:val="0"/>
    <w:rPr>
      <w:rFonts w:eastAsia="Times New Roman"/>
      <w:i w:val="0"/>
      <w:iCs w:val="0"/>
      <w:color w:val="auto"/>
    </w:rPr>
  </w:style>
  <w:style w:type="paragraph" w:customStyle="1" w:styleId="32">
    <w:name w:val="Nível 4"/>
    <w:basedOn w:val="31"/>
    <w:link w:val="34"/>
    <w:qFormat/>
    <w:uiPriority w:val="0"/>
    <w:pPr>
      <w:ind w:left="567"/>
    </w:pPr>
  </w:style>
  <w:style w:type="character" w:customStyle="1" w:styleId="33">
    <w:name w:val="Nível 3 Char"/>
    <w:basedOn w:val="4"/>
    <w:link w:val="31"/>
    <w:qFormat/>
    <w:uiPriority w:val="0"/>
    <w:rPr>
      <w:rFonts w:ascii="Arial" w:hAnsi="Arial" w:eastAsia="Times New Roman" w:cs="Arial"/>
    </w:rPr>
  </w:style>
  <w:style w:type="character" w:customStyle="1" w:styleId="34">
    <w:name w:val="Nível 4 Char"/>
    <w:basedOn w:val="33"/>
    <w:link w:val="32"/>
    <w:qFormat/>
    <w:uiPriority w:val="0"/>
    <w:rPr>
      <w:rFonts w:ascii="Arial" w:hAnsi="Arial" w:eastAsia="Times New Roman" w:cs="Arial"/>
    </w:rPr>
  </w:style>
  <w:style w:type="character" w:customStyle="1" w:styleId="35">
    <w:name w:val="Texto de comentário Char"/>
    <w:basedOn w:val="4"/>
    <w:link w:val="10"/>
    <w:qFormat/>
    <w:uiPriority w:val="0"/>
    <w:rPr>
      <w:rFonts w:ascii="Ecofont_Spranq_eco_Sans" w:hAnsi="Ecofont_Spranq_eco_Sans" w:eastAsia="Times New Roman" w:cs="Tahoma"/>
    </w:rPr>
  </w:style>
  <w:style w:type="paragraph" w:customStyle="1" w:styleId="36">
    <w:name w:val="Nível 2 -Red"/>
    <w:basedOn w:val="28"/>
    <w:link w:val="37"/>
    <w:qFormat/>
    <w:uiPriority w:val="0"/>
    <w:pPr>
      <w:numPr>
        <w:ilvl w:val="1"/>
        <w:numId w:val="1"/>
      </w:numPr>
      <w:ind w:left="0" w:firstLine="0"/>
    </w:pPr>
    <w:rPr>
      <w:i/>
      <w:iCs/>
      <w:color w:val="FF0000"/>
    </w:rPr>
  </w:style>
  <w:style w:type="character" w:customStyle="1" w:styleId="37">
    <w:name w:val="Nível 2 -Red Char"/>
    <w:basedOn w:val="29"/>
    <w:link w:val="36"/>
    <w:qFormat/>
    <w:uiPriority w:val="0"/>
    <w:rPr>
      <w:rFonts w:ascii="Arial" w:hAnsi="Arial" w:eastAsia="Times New Roman" w:cs="Arial"/>
      <w:i/>
      <w:iCs/>
      <w:color w:val="FF0000"/>
    </w:rPr>
  </w:style>
  <w:style w:type="paragraph" w:customStyle="1" w:styleId="38">
    <w:name w:val="ou"/>
    <w:basedOn w:val="15"/>
    <w:link w:val="39"/>
    <w:qFormat/>
    <w:uiPriority w:val="0"/>
    <w:pPr>
      <w:widowControl/>
      <w:autoSpaceDE/>
      <w:autoSpaceDN/>
      <w:spacing w:before="60" w:after="60" w:line="259" w:lineRule="auto"/>
      <w:ind w:left="0"/>
      <w:jc w:val="center"/>
    </w:pPr>
    <w:rPr>
      <w:rFonts w:ascii="Arial" w:hAnsi="Arial" w:cs="Arial" w:eastAsiaTheme="minorHAnsi"/>
      <w:b/>
      <w:bCs/>
      <w:i/>
      <w:iCs/>
      <w:color w:val="FF0000"/>
      <w:sz w:val="20"/>
      <w:szCs w:val="24"/>
      <w:u w:val="single"/>
      <w:lang w:val="pt-BR" w:eastAsia="pt-BR" w:bidi="ar-SA"/>
    </w:rPr>
  </w:style>
  <w:style w:type="character" w:customStyle="1" w:styleId="39">
    <w:name w:val="ou Char"/>
    <w:basedOn w:val="4"/>
    <w:link w:val="38"/>
    <w:qFormat/>
    <w:uiPriority w:val="0"/>
    <w:rPr>
      <w:rFonts w:ascii="Arial" w:hAnsi="Arial" w:cs="Arial" w:eastAsiaTheme="minorHAnsi"/>
      <w:b/>
      <w:bCs/>
      <w:i/>
      <w:iCs/>
      <w:color w:val="FF0000"/>
      <w:szCs w:val="24"/>
      <w:u w:val="single"/>
    </w:rPr>
  </w:style>
  <w:style w:type="character" w:customStyle="1" w:styleId="40">
    <w:name w:val="Nível 3-R Char"/>
    <w:basedOn w:val="4"/>
    <w:link w:val="30"/>
    <w:qFormat/>
    <w:uiPriority w:val="0"/>
    <w:rPr>
      <w:rFonts w:ascii="Arial" w:hAnsi="Arial" w:cs="Arial" w:eastAsiaTheme="minorEastAsia"/>
      <w:i/>
      <w:iCs/>
      <w:color w:val="FF0000"/>
    </w:rPr>
  </w:style>
  <w:style w:type="paragraph" w:customStyle="1" w:styleId="41">
    <w:name w:val="SubTitNN"/>
    <w:basedOn w:val="1"/>
    <w:link w:val="42"/>
    <w:qFormat/>
    <w:uiPriority w:val="0"/>
    <w:pPr>
      <w:widowControl/>
      <w:autoSpaceDE/>
      <w:autoSpaceDN/>
      <w:spacing w:before="240" w:after="120" w:line="276" w:lineRule="auto"/>
      <w:jc w:val="both"/>
    </w:pPr>
    <w:rPr>
      <w:rFonts w:ascii="Arial" w:hAnsi="Arial" w:eastAsia="Times New Roman" w:cs="Arial"/>
      <w:b/>
      <w:bCs/>
      <w:iCs/>
      <w:sz w:val="20"/>
      <w:szCs w:val="20"/>
      <w:lang w:val="pt-BR" w:eastAsia="pt-BR" w:bidi="ar-SA"/>
    </w:rPr>
  </w:style>
  <w:style w:type="character" w:customStyle="1" w:styleId="42">
    <w:name w:val="SubTitNN Char"/>
    <w:basedOn w:val="4"/>
    <w:link w:val="41"/>
    <w:qFormat/>
    <w:uiPriority w:val="0"/>
    <w:rPr>
      <w:rFonts w:ascii="Arial" w:hAnsi="Arial" w:eastAsia="Times New Roman" w:cs="Arial"/>
      <w:b/>
      <w:bCs/>
      <w:iC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G:\Meu%20Drive\Preg&#227;o%20Eletr&#244;nico%20Jonathan%20e%20Cl&#225;udia\Preg&#245;es%20eletr&#244;nicos%202021\PE%20015%20-%2021%20-%20ALIMENTA&#199;&#195;O%20HOSPITALAR%20MATERNIDADE\Anexo%20IV%20-%20Minuta%20de%20Ata%20de%20Registro%20de%20Pre&#231;os%20-%20PE%20015%20-%202021.dot"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BC98FA-E739-4519-988F-579D26FB45B1}">
  <ds:schemaRefs/>
</ds:datastoreItem>
</file>

<file path=docProps/app.xml><?xml version="1.0" encoding="utf-8"?>
<Properties xmlns="http://schemas.openxmlformats.org/officeDocument/2006/extended-properties" xmlns:vt="http://schemas.openxmlformats.org/officeDocument/2006/docPropsVTypes">
  <Template>Anexo IV - Minuta de Ata de Registro de Preços - PE 015 - 2021</Template>
  <Pages>12</Pages>
  <Words>2948</Words>
  <Characters>15922</Characters>
  <Lines>132</Lines>
  <Paragraphs>37</Paragraphs>
  <TotalTime>3</TotalTime>
  <ScaleCrop>false</ScaleCrop>
  <LinksUpToDate>false</LinksUpToDate>
  <CharactersWithSpaces>18833</CharactersWithSpaces>
  <Application>WPS Office_11.2.0.10443_F1E327BC-269C-435d-A152-05C5408002CA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2023-05-10T15:01:00Z</dcterms:created>
  <dc:creator>Jonathan Chaves</dc:creator>
  <cp:lastModifiedBy>izabella.nogueira</cp:lastModifiedBy>
  <cp:lastPrinted>2022-01-07T16:47:00Z</cp:lastPrinted>
  <dcterms:modified xsi:type="dcterms:W3CDTF">2026-05-21T16:33:33Z</dcterms:modified>
  <dc:title>No dia ____ de ____________________de _________, no TRIBUNAL DE CONTAS DO ESTADO DO RIO DE JANEIRO – TCE-RJ, registram-se os p</dc:title>
  <cp:revision>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2020-12-07T00:00:00Z</vt:filetime>
  </property>
  <property fmtid="{D5CDD505-2E9C-101B-9397-08002B2CF9AE}" pid="3" name="Creator">
    <vt:lpwstr>Microsoft® Word 2019</vt:lpwstr>
  </property>
  <property fmtid="{D5CDD505-2E9C-101B-9397-08002B2CF9AE}" pid="4" name="LastSaved">
    <vt:filetime>2021-01-28T00:00:00Z</vt:filetime>
  </property>
  <property fmtid="{D5CDD505-2E9C-101B-9397-08002B2CF9AE}" pid="5" name="KSOProductBuildVer">
    <vt:lpwstr>1046-11.2.0.10443</vt:lpwstr>
  </property>
  <property fmtid="{D5CDD505-2E9C-101B-9397-08002B2CF9AE}" pid="6" name="ICV">
    <vt:lpwstr>3D4133E457A54AA7B327CF2FF9F82E56_12</vt:lpwstr>
  </property>
</Properties>
</file>